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BB95" w14:textId="7744A3BD" w:rsidR="00E802E2" w:rsidRPr="00A37AF1" w:rsidRDefault="00A37AF1" w:rsidP="00E802E2">
      <w:pPr>
        <w:jc w:val="center"/>
        <w:rPr>
          <w:b/>
          <w:bCs/>
          <w:sz w:val="24"/>
          <w:szCs w:val="24"/>
          <w:lang w:val="pt-BR"/>
        </w:rPr>
      </w:pPr>
      <w:r w:rsidRPr="00A37AF1">
        <w:rPr>
          <w:b/>
          <w:bCs/>
          <w:sz w:val="24"/>
          <w:szCs w:val="24"/>
          <w:lang w:val="pt-BR"/>
        </w:rPr>
        <w:t xml:space="preserve">PELE DE TILÁPIA </w:t>
      </w:r>
      <w:r w:rsidRPr="00CD1F69">
        <w:rPr>
          <w:b/>
          <w:bCs/>
          <w:i/>
          <w:iCs/>
          <w:sz w:val="24"/>
          <w:szCs w:val="24"/>
          <w:lang w:val="pt-BR"/>
        </w:rPr>
        <w:t>(</w:t>
      </w:r>
      <w:proofErr w:type="spellStart"/>
      <w:r w:rsidRPr="00CD1F69">
        <w:rPr>
          <w:b/>
          <w:bCs/>
          <w:i/>
          <w:iCs/>
          <w:sz w:val="24"/>
          <w:szCs w:val="24"/>
          <w:lang w:val="pt-BR"/>
        </w:rPr>
        <w:t>Oreochromis</w:t>
      </w:r>
      <w:proofErr w:type="spellEnd"/>
      <w:r w:rsidRPr="00CD1F69">
        <w:rPr>
          <w:b/>
          <w:bCs/>
          <w:i/>
          <w:iCs/>
          <w:sz w:val="24"/>
          <w:szCs w:val="24"/>
          <w:lang w:val="pt-BR"/>
        </w:rPr>
        <w:t xml:space="preserve"> niloticus)</w:t>
      </w:r>
      <w:r w:rsidRPr="00A37AF1">
        <w:rPr>
          <w:b/>
          <w:bCs/>
          <w:sz w:val="24"/>
          <w:szCs w:val="24"/>
          <w:lang w:val="pt-BR"/>
        </w:rPr>
        <w:t xml:space="preserve"> COMO </w:t>
      </w:r>
      <w:r w:rsidR="00EB56A9">
        <w:rPr>
          <w:b/>
          <w:bCs/>
          <w:sz w:val="24"/>
          <w:szCs w:val="24"/>
          <w:lang w:val="pt-BR"/>
        </w:rPr>
        <w:t>BIOMATERIAL</w:t>
      </w:r>
      <w:r w:rsidRPr="00A37AF1">
        <w:rPr>
          <w:b/>
          <w:bCs/>
          <w:sz w:val="24"/>
          <w:szCs w:val="24"/>
          <w:lang w:val="pt-BR"/>
        </w:rPr>
        <w:t xml:space="preserve"> REGENERATIVO NA MEDICINA VETERINÁRIA: PADRONIZAÇÃO BIOTECNOLÓGICA E VALIDAÇÃO CLÍNICA MULTIESPÉCIE</w:t>
      </w:r>
    </w:p>
    <w:p w14:paraId="129050F3" w14:textId="77777777" w:rsidR="00E802E2" w:rsidRPr="00A37AF1" w:rsidRDefault="00E802E2" w:rsidP="00E802E2">
      <w:pPr>
        <w:pStyle w:val="Corpodetexto"/>
        <w:spacing w:line="217" w:lineRule="exact"/>
        <w:ind w:left="102"/>
        <w:rPr>
          <w:sz w:val="24"/>
          <w:szCs w:val="24"/>
          <w:lang w:val="pt-BR"/>
        </w:rPr>
      </w:pPr>
    </w:p>
    <w:p w14:paraId="457E22E3" w14:textId="06C059C6" w:rsidR="00E802E2" w:rsidRPr="00745158" w:rsidRDefault="00480972" w:rsidP="00E802E2">
      <w:pPr>
        <w:pStyle w:val="Corpodetexto"/>
        <w:ind w:left="111"/>
        <w:jc w:val="center"/>
        <w:rPr>
          <w:sz w:val="24"/>
          <w:szCs w:val="24"/>
          <w:lang w:val="pt-BR"/>
        </w:rPr>
      </w:pPr>
      <w:r w:rsidRPr="00480972">
        <w:rPr>
          <w:color w:val="010101"/>
          <w:w w:val="105"/>
          <w:sz w:val="24"/>
          <w:szCs w:val="24"/>
          <w:lang w:val="pt-BR"/>
        </w:rPr>
        <w:t xml:space="preserve">Davi de Oliveira Glória Vargas¹; Clara Franco Fagundes¹; Fernanda Giácomo Ragazzi²; Ramon de Sousa Rego²; </w:t>
      </w:r>
      <w:proofErr w:type="spellStart"/>
      <w:r w:rsidRPr="00480972">
        <w:rPr>
          <w:color w:val="010101"/>
          <w:w w:val="105"/>
          <w:sz w:val="24"/>
          <w:szCs w:val="24"/>
          <w:lang w:val="pt-BR"/>
        </w:rPr>
        <w:t>Hingrid</w:t>
      </w:r>
      <w:proofErr w:type="spellEnd"/>
      <w:r w:rsidRPr="00480972">
        <w:rPr>
          <w:color w:val="010101"/>
          <w:w w:val="105"/>
          <w:sz w:val="24"/>
          <w:szCs w:val="24"/>
          <w:lang w:val="pt-BR"/>
        </w:rPr>
        <w:t xml:space="preserve"> Barbosa de Souza²</w:t>
      </w:r>
      <w:r>
        <w:rPr>
          <w:color w:val="010101"/>
          <w:w w:val="105"/>
          <w:sz w:val="24"/>
          <w:szCs w:val="24"/>
          <w:lang w:val="pt-BR"/>
        </w:rPr>
        <w:t>;</w:t>
      </w:r>
    </w:p>
    <w:p w14:paraId="130D498A" w14:textId="77777777" w:rsidR="00E802E2" w:rsidRPr="00745158" w:rsidRDefault="00E802E2" w:rsidP="00E802E2">
      <w:pPr>
        <w:pStyle w:val="Corpodetexto"/>
        <w:spacing w:before="3"/>
        <w:rPr>
          <w:sz w:val="24"/>
          <w:szCs w:val="24"/>
          <w:lang w:val="pt-BR"/>
        </w:rPr>
      </w:pPr>
    </w:p>
    <w:p w14:paraId="3EDE47C5" w14:textId="77777777" w:rsidR="00480972" w:rsidRPr="006A7681" w:rsidRDefault="00480972" w:rsidP="00480972">
      <w:pPr>
        <w:pStyle w:val="PargrafodaLista"/>
        <w:numPr>
          <w:ilvl w:val="0"/>
          <w:numId w:val="1"/>
        </w:numPr>
        <w:tabs>
          <w:tab w:val="left" w:pos="334"/>
        </w:tabs>
        <w:spacing w:before="1" w:line="316" w:lineRule="auto"/>
        <w:ind w:right="131" w:hanging="4"/>
        <w:contextualSpacing w:val="0"/>
        <w:jc w:val="center"/>
        <w:rPr>
          <w:sz w:val="20"/>
          <w:szCs w:val="20"/>
          <w:lang w:val="pt-BR"/>
        </w:rPr>
      </w:pPr>
      <w:r>
        <w:rPr>
          <w:color w:val="010101"/>
          <w:spacing w:val="-2"/>
          <w:w w:val="110"/>
          <w:sz w:val="20"/>
          <w:szCs w:val="20"/>
          <w:lang w:val="pt-BR"/>
        </w:rPr>
        <w:t>Discente Medicina Veterinária Universidade Iguaçu-UNIG-Itaperuna-RJ-Brasil</w:t>
      </w:r>
    </w:p>
    <w:p w14:paraId="70741AD1" w14:textId="77777777" w:rsidR="00480972" w:rsidRPr="005B56BE" w:rsidRDefault="00480972" w:rsidP="00480972">
      <w:pPr>
        <w:pStyle w:val="PargrafodaLista"/>
        <w:numPr>
          <w:ilvl w:val="0"/>
          <w:numId w:val="2"/>
        </w:numPr>
        <w:tabs>
          <w:tab w:val="left" w:pos="334"/>
        </w:tabs>
        <w:spacing w:before="1" w:line="316" w:lineRule="auto"/>
        <w:ind w:right="131"/>
        <w:contextualSpacing w:val="0"/>
        <w:jc w:val="center"/>
        <w:rPr>
          <w:sz w:val="20"/>
          <w:szCs w:val="20"/>
          <w:lang w:val="pt-BR"/>
        </w:rPr>
      </w:pPr>
      <w:r>
        <w:rPr>
          <w:color w:val="010101"/>
          <w:spacing w:val="-2"/>
          <w:w w:val="110"/>
          <w:sz w:val="20"/>
          <w:szCs w:val="20"/>
          <w:lang w:val="pt-BR"/>
        </w:rPr>
        <w:t>Docente da Universidade Iguaçu-UNIG-Itaperuna-RJ-Brasil</w:t>
      </w:r>
    </w:p>
    <w:p w14:paraId="3135C45B" w14:textId="77777777" w:rsidR="00480972" w:rsidRPr="005B56BE" w:rsidRDefault="00480972" w:rsidP="00480972">
      <w:pPr>
        <w:pStyle w:val="PargrafodaLista"/>
        <w:tabs>
          <w:tab w:val="left" w:pos="334"/>
        </w:tabs>
        <w:spacing w:before="1" w:line="316" w:lineRule="auto"/>
        <w:ind w:left="464" w:right="131"/>
        <w:jc w:val="center"/>
        <w:rPr>
          <w:sz w:val="20"/>
          <w:szCs w:val="20"/>
          <w:lang w:val="pt-BR"/>
        </w:rPr>
      </w:pPr>
      <w:r>
        <w:rPr>
          <w:color w:val="010101"/>
          <w:spacing w:val="-2"/>
          <w:w w:val="110"/>
          <w:sz w:val="20"/>
          <w:szCs w:val="20"/>
          <w:lang w:val="pt-BR"/>
        </w:rPr>
        <w:t>E-mail do autor principal: davi.ovargas@gmail.com</w:t>
      </w:r>
    </w:p>
    <w:p w14:paraId="104653D7" w14:textId="77777777" w:rsidR="00E802E2" w:rsidRPr="004A623E" w:rsidRDefault="00E802E2" w:rsidP="00E802E2">
      <w:pPr>
        <w:pStyle w:val="Corpodetexto"/>
        <w:rPr>
          <w:b/>
          <w:sz w:val="24"/>
          <w:szCs w:val="24"/>
          <w:lang w:val="pt-BR"/>
        </w:rPr>
      </w:pPr>
    </w:p>
    <w:p w14:paraId="750B071D" w14:textId="4ECA0102" w:rsidR="00E802E2" w:rsidRPr="00CD1F69" w:rsidRDefault="00E802E2" w:rsidP="00E802E2">
      <w:pPr>
        <w:pStyle w:val="Corpodetexto"/>
        <w:spacing w:before="94" w:line="319" w:lineRule="auto"/>
        <w:ind w:right="124"/>
        <w:jc w:val="both"/>
        <w:rPr>
          <w:b/>
          <w:color w:val="010101"/>
          <w:spacing w:val="-7"/>
          <w:w w:val="105"/>
          <w:sz w:val="24"/>
          <w:szCs w:val="24"/>
          <w:lang w:val="pt-BR"/>
        </w:rPr>
      </w:pPr>
      <w:r w:rsidRPr="004A623E">
        <w:rPr>
          <w:b/>
          <w:color w:val="010101"/>
          <w:w w:val="105"/>
          <w:sz w:val="24"/>
          <w:szCs w:val="24"/>
          <w:lang w:val="pt-BR"/>
        </w:rPr>
        <w:t xml:space="preserve">Introdução: </w:t>
      </w:r>
      <w:r w:rsidR="00A37AF1" w:rsidRPr="00A37AF1">
        <w:rPr>
          <w:bCs/>
          <w:color w:val="010101"/>
          <w:w w:val="105"/>
          <w:sz w:val="24"/>
          <w:szCs w:val="24"/>
          <w:lang w:val="pt-BR"/>
        </w:rPr>
        <w:t>A incorporação de biomateriais sustentáveis na medicina veterinária regenerativa tem se consolidado como abordagem promissora para o tratamento de lesões cutâneas complexas</w:t>
      </w:r>
      <w:r w:rsidR="00A37AF1">
        <w:rPr>
          <w:b/>
          <w:color w:val="010101"/>
          <w:w w:val="105"/>
          <w:sz w:val="24"/>
          <w:szCs w:val="24"/>
          <w:lang w:val="pt-BR"/>
        </w:rPr>
        <w:t xml:space="preserve">. </w:t>
      </w:r>
      <w:r w:rsidRPr="00E802E2">
        <w:rPr>
          <w:bCs/>
          <w:color w:val="010101"/>
          <w:w w:val="105"/>
          <w:sz w:val="24"/>
          <w:szCs w:val="24"/>
          <w:lang w:val="pt-BR"/>
        </w:rPr>
        <w:t>A pele de tilápia (</w:t>
      </w:r>
      <w:proofErr w:type="spellStart"/>
      <w:r w:rsidRPr="001F21CD">
        <w:rPr>
          <w:bCs/>
          <w:i/>
          <w:iCs/>
          <w:color w:val="010101"/>
          <w:w w:val="105"/>
          <w:sz w:val="24"/>
          <w:szCs w:val="24"/>
          <w:lang w:val="pt-BR"/>
        </w:rPr>
        <w:t>Oreochromis</w:t>
      </w:r>
      <w:proofErr w:type="spellEnd"/>
      <w:r w:rsidRPr="001F21CD">
        <w:rPr>
          <w:bCs/>
          <w:i/>
          <w:iCs/>
          <w:color w:val="010101"/>
          <w:w w:val="105"/>
          <w:sz w:val="24"/>
          <w:szCs w:val="24"/>
          <w:lang w:val="pt-BR"/>
        </w:rPr>
        <w:t xml:space="preserve"> niloticus</w:t>
      </w:r>
      <w:r w:rsidRPr="00E802E2">
        <w:rPr>
          <w:bCs/>
          <w:color w:val="010101"/>
          <w:w w:val="105"/>
          <w:sz w:val="24"/>
          <w:szCs w:val="24"/>
          <w:lang w:val="pt-BR"/>
        </w:rPr>
        <w:t xml:space="preserve">), subproduto amplamente disponível da piscicultura nacional, apresenta elevada concentração de colágeno tipo I, resistência mecânica e potencial </w:t>
      </w:r>
      <w:proofErr w:type="spellStart"/>
      <w:r w:rsidRPr="00E802E2">
        <w:rPr>
          <w:bCs/>
          <w:color w:val="010101"/>
          <w:w w:val="105"/>
          <w:sz w:val="24"/>
          <w:szCs w:val="24"/>
          <w:lang w:val="pt-BR"/>
        </w:rPr>
        <w:t>bioindutor</w:t>
      </w:r>
      <w:proofErr w:type="spellEnd"/>
      <w:r w:rsidRPr="00E802E2">
        <w:rPr>
          <w:bCs/>
          <w:color w:val="010101"/>
          <w:w w:val="105"/>
          <w:sz w:val="24"/>
          <w:szCs w:val="24"/>
          <w:lang w:val="pt-BR"/>
        </w:rPr>
        <w:t xml:space="preserve">, configurando-se como alternativa </w:t>
      </w:r>
      <w:r w:rsidR="00EB56A9">
        <w:rPr>
          <w:bCs/>
          <w:color w:val="010101"/>
          <w:w w:val="105"/>
          <w:sz w:val="24"/>
          <w:szCs w:val="24"/>
          <w:lang w:val="pt-BR"/>
        </w:rPr>
        <w:t>eficiente</w:t>
      </w:r>
      <w:r w:rsidRPr="00E802E2">
        <w:rPr>
          <w:bCs/>
          <w:color w:val="010101"/>
          <w:w w:val="105"/>
          <w:sz w:val="24"/>
          <w:szCs w:val="24"/>
          <w:lang w:val="pt-BR"/>
        </w:rPr>
        <w:t xml:space="preserve"> aos curativos convencionais. Contudo, sua aplicação clínica exige padronização rigorosa de protocolos de processamento, esterilização e fixação</w:t>
      </w:r>
      <w:r>
        <w:rPr>
          <w:bCs/>
          <w:color w:val="010101"/>
          <w:w w:val="105"/>
          <w:sz w:val="24"/>
          <w:szCs w:val="24"/>
          <w:lang w:val="pt-BR"/>
        </w:rPr>
        <w:t>.</w:t>
      </w:r>
      <w:r w:rsidRPr="004A623E">
        <w:rPr>
          <w:color w:val="010101"/>
          <w:spacing w:val="-7"/>
          <w:w w:val="105"/>
          <w:sz w:val="24"/>
          <w:szCs w:val="24"/>
          <w:lang w:val="pt-BR"/>
        </w:rPr>
        <w:t xml:space="preserve"> </w:t>
      </w:r>
      <w:r w:rsidR="00EB56A9" w:rsidRPr="00EB56A9">
        <w:rPr>
          <w:color w:val="010101"/>
          <w:spacing w:val="-7"/>
          <w:w w:val="105"/>
          <w:sz w:val="24"/>
          <w:szCs w:val="24"/>
          <w:lang w:val="pt-BR"/>
        </w:rPr>
        <w:t>Nesse contexto, a valorização de resíduos da piscicultura como biomateriais terapêuticos integra sustentabilidade e inovação tecnológica na medicina veterinária.</w:t>
      </w:r>
      <w:r w:rsidR="00A37AF1">
        <w:rPr>
          <w:color w:val="010101"/>
          <w:spacing w:val="-7"/>
          <w:w w:val="105"/>
          <w:sz w:val="24"/>
          <w:szCs w:val="24"/>
          <w:lang w:val="pt-BR"/>
        </w:rPr>
        <w:t xml:space="preserve"> </w:t>
      </w:r>
      <w:r w:rsidRPr="004A623E">
        <w:rPr>
          <w:b/>
          <w:color w:val="010101"/>
          <w:w w:val="105"/>
          <w:sz w:val="24"/>
          <w:szCs w:val="24"/>
          <w:lang w:val="pt-BR"/>
        </w:rPr>
        <w:t>Objetivo:</w:t>
      </w:r>
      <w:r w:rsidRPr="004A623E">
        <w:rPr>
          <w:b/>
          <w:color w:val="010101"/>
          <w:spacing w:val="-6"/>
          <w:w w:val="105"/>
          <w:sz w:val="24"/>
          <w:szCs w:val="24"/>
          <w:lang w:val="pt-BR"/>
        </w:rPr>
        <w:t xml:space="preserve"> </w:t>
      </w:r>
      <w:r w:rsidRPr="00E802E2">
        <w:rPr>
          <w:bCs/>
          <w:color w:val="010101"/>
          <w:spacing w:val="-6"/>
          <w:w w:val="105"/>
          <w:sz w:val="24"/>
          <w:szCs w:val="24"/>
          <w:lang w:val="pt-BR"/>
        </w:rPr>
        <w:t>Consolidar e validar</w:t>
      </w:r>
      <w:r w:rsidR="00EB56A9">
        <w:rPr>
          <w:bCs/>
          <w:color w:val="010101"/>
          <w:spacing w:val="-6"/>
          <w:w w:val="105"/>
          <w:sz w:val="24"/>
          <w:szCs w:val="24"/>
          <w:lang w:val="pt-BR"/>
        </w:rPr>
        <w:t xml:space="preserve"> um</w:t>
      </w:r>
      <w:r w:rsidRPr="00E802E2">
        <w:rPr>
          <w:bCs/>
          <w:color w:val="010101"/>
          <w:spacing w:val="-6"/>
          <w:w w:val="105"/>
          <w:sz w:val="24"/>
          <w:szCs w:val="24"/>
          <w:lang w:val="pt-BR"/>
        </w:rPr>
        <w:t xml:space="preserve"> protocolo metodológico de processamento e esterilização da pele de tilápia, bem como avaliar sua aplicabilidade clínica como </w:t>
      </w:r>
      <w:proofErr w:type="spellStart"/>
      <w:r w:rsidRPr="00E802E2">
        <w:rPr>
          <w:bCs/>
          <w:color w:val="010101"/>
          <w:spacing w:val="-6"/>
          <w:w w:val="105"/>
          <w:sz w:val="24"/>
          <w:szCs w:val="24"/>
          <w:lang w:val="pt-BR"/>
        </w:rPr>
        <w:t>xenoenxerto</w:t>
      </w:r>
      <w:proofErr w:type="spellEnd"/>
      <w:r w:rsidRPr="00E802E2">
        <w:rPr>
          <w:bCs/>
          <w:color w:val="010101"/>
          <w:spacing w:val="-6"/>
          <w:w w:val="105"/>
          <w:sz w:val="24"/>
          <w:szCs w:val="24"/>
          <w:lang w:val="pt-BR"/>
        </w:rPr>
        <w:t xml:space="preserve"> em diferentes espécies animais.</w:t>
      </w:r>
      <w:r w:rsidRPr="00E802E2">
        <w:rPr>
          <w:bCs/>
          <w:color w:val="010101"/>
          <w:spacing w:val="-1"/>
          <w:w w:val="105"/>
          <w:sz w:val="24"/>
          <w:szCs w:val="24"/>
          <w:lang w:val="pt-BR"/>
        </w:rPr>
        <w:t xml:space="preserve"> </w:t>
      </w:r>
      <w:r w:rsidRPr="004A623E">
        <w:rPr>
          <w:b/>
          <w:color w:val="010101"/>
          <w:w w:val="105"/>
          <w:sz w:val="24"/>
          <w:szCs w:val="24"/>
          <w:lang w:val="pt-BR"/>
        </w:rPr>
        <w:t>Material</w:t>
      </w:r>
      <w:r w:rsidRPr="004A623E">
        <w:rPr>
          <w:b/>
          <w:color w:val="010101"/>
          <w:spacing w:val="-7"/>
          <w:w w:val="105"/>
          <w:sz w:val="24"/>
          <w:szCs w:val="24"/>
          <w:lang w:val="pt-BR"/>
        </w:rPr>
        <w:t xml:space="preserve"> </w:t>
      </w:r>
      <w:r w:rsidRPr="004A623E">
        <w:rPr>
          <w:b/>
          <w:color w:val="010101"/>
          <w:w w:val="105"/>
          <w:sz w:val="24"/>
          <w:szCs w:val="24"/>
          <w:lang w:val="pt-BR"/>
        </w:rPr>
        <w:t>e</w:t>
      </w:r>
      <w:r w:rsidRPr="004A623E">
        <w:rPr>
          <w:b/>
          <w:color w:val="010101"/>
          <w:spacing w:val="-14"/>
          <w:w w:val="105"/>
          <w:sz w:val="24"/>
          <w:szCs w:val="24"/>
          <w:lang w:val="pt-BR"/>
        </w:rPr>
        <w:t xml:space="preserve"> </w:t>
      </w:r>
      <w:r w:rsidRPr="004A623E">
        <w:rPr>
          <w:b/>
          <w:color w:val="010101"/>
          <w:w w:val="105"/>
          <w:sz w:val="24"/>
          <w:szCs w:val="24"/>
          <w:lang w:val="pt-BR"/>
        </w:rPr>
        <w:t>Métodos</w:t>
      </w:r>
      <w:r w:rsidRPr="00CD1F69">
        <w:rPr>
          <w:b/>
          <w:color w:val="010101"/>
          <w:w w:val="105"/>
          <w:sz w:val="24"/>
          <w:szCs w:val="24"/>
          <w:lang w:val="pt-BR"/>
        </w:rPr>
        <w:t>:</w:t>
      </w:r>
      <w:r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 </w:t>
      </w:r>
      <w:r w:rsidR="00CD1F69"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O estudo foi conduzido em duas etapas: experimental e clínica. Na fase experimental, amostras de pele de tilápia </w:t>
      </w:r>
      <w:r w:rsidR="00CD1F69" w:rsidRPr="002D012B">
        <w:rPr>
          <w:bCs/>
          <w:i/>
          <w:iCs/>
          <w:color w:val="010101"/>
          <w:spacing w:val="-7"/>
          <w:w w:val="105"/>
          <w:sz w:val="24"/>
          <w:szCs w:val="24"/>
          <w:lang w:val="pt-BR"/>
        </w:rPr>
        <w:t>(</w:t>
      </w:r>
      <w:proofErr w:type="spellStart"/>
      <w:r w:rsidR="00CD1F69" w:rsidRPr="002D012B">
        <w:rPr>
          <w:bCs/>
          <w:i/>
          <w:iCs/>
          <w:color w:val="010101"/>
          <w:spacing w:val="-7"/>
          <w:w w:val="105"/>
          <w:sz w:val="24"/>
          <w:szCs w:val="24"/>
          <w:lang w:val="pt-BR"/>
        </w:rPr>
        <w:t>Oreochromis</w:t>
      </w:r>
      <w:proofErr w:type="spellEnd"/>
      <w:r w:rsidR="00CD1F69" w:rsidRPr="002D012B">
        <w:rPr>
          <w:bCs/>
          <w:i/>
          <w:iCs/>
          <w:color w:val="010101"/>
          <w:spacing w:val="-7"/>
          <w:w w:val="105"/>
          <w:sz w:val="24"/>
          <w:szCs w:val="24"/>
          <w:lang w:val="pt-BR"/>
        </w:rPr>
        <w:t xml:space="preserve"> niloticus)</w:t>
      </w:r>
      <w:r w:rsidR="00CD1F69"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 foram submetidas a protocolo de processamento envolvendo limpeza inicial, desinfecção com gluconato de clorexidina a 2% e imersões sequenciais em glicerol nas concentrações de 50%, 75% e 100%. Como etapa adicional de esterilização, foi </w:t>
      </w:r>
      <w:r w:rsidR="00EB56A9">
        <w:rPr>
          <w:bCs/>
          <w:color w:val="010101"/>
          <w:spacing w:val="-7"/>
          <w:w w:val="105"/>
          <w:sz w:val="24"/>
          <w:szCs w:val="24"/>
          <w:lang w:val="pt-BR"/>
        </w:rPr>
        <w:t>empregada</w:t>
      </w:r>
      <w:r w:rsidR="00CD1F69"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 ozonização na concentração de 70 mcg/</w:t>
      </w:r>
      <w:proofErr w:type="spellStart"/>
      <w:r w:rsidR="00CD1F69"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>mL</w:t>
      </w:r>
      <w:proofErr w:type="spellEnd"/>
      <w:r w:rsidR="00CD1F69"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 por 20 minutos. A eficácia microbiológica do protocolo foi avaliada por meio de culturas bacterianas e fúngicas</w:t>
      </w:r>
      <w:r w:rsidR="00EB56A9">
        <w:rPr>
          <w:bCs/>
          <w:color w:val="010101"/>
          <w:spacing w:val="-7"/>
          <w:w w:val="105"/>
          <w:sz w:val="24"/>
          <w:szCs w:val="24"/>
          <w:lang w:val="pt-BR"/>
        </w:rPr>
        <w:t>.</w:t>
      </w:r>
      <w:r w:rsidR="00CD1F69"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 Após a padronização do processamento, o biomaterial foi aplicado em casos clínicos de lesões cutâneas em equinos acometidos por </w:t>
      </w:r>
      <w:proofErr w:type="spellStart"/>
      <w:r w:rsidR="00CD1F69"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>habronemose</w:t>
      </w:r>
      <w:proofErr w:type="spellEnd"/>
      <w:r w:rsidR="00CD1F69" w:rsidRPr="00CD1F69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 cutânea, bovinos com carcinoma cutâneo e feridas pós-operatórias em cã</w:t>
      </w:r>
      <w:r w:rsidR="00EB56A9">
        <w:rPr>
          <w:bCs/>
          <w:color w:val="010101"/>
          <w:spacing w:val="-7"/>
          <w:w w:val="105"/>
          <w:sz w:val="24"/>
          <w:szCs w:val="24"/>
          <w:lang w:val="pt-BR"/>
        </w:rPr>
        <w:t>es e gatos</w:t>
      </w:r>
      <w:r w:rsidR="00A76BD3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 todos publicados em diferentes meios de divulgações científicas, incluindo revistas e congressos</w:t>
      </w:r>
      <w:r w:rsidR="00EB56A9">
        <w:rPr>
          <w:bCs/>
          <w:color w:val="010101"/>
          <w:spacing w:val="-7"/>
          <w:w w:val="105"/>
          <w:sz w:val="24"/>
          <w:szCs w:val="24"/>
          <w:lang w:val="pt-BR"/>
        </w:rPr>
        <w:t xml:space="preserve">. </w:t>
      </w:r>
      <w:r w:rsidRPr="004A623E">
        <w:rPr>
          <w:b/>
          <w:color w:val="010101"/>
          <w:w w:val="105"/>
          <w:sz w:val="24"/>
          <w:szCs w:val="24"/>
          <w:lang w:val="pt-BR"/>
        </w:rPr>
        <w:t xml:space="preserve">Resultados: </w:t>
      </w:r>
      <w:r w:rsidR="00A37AF1" w:rsidRPr="00A37AF1">
        <w:rPr>
          <w:bCs/>
          <w:color w:val="010101"/>
          <w:w w:val="105"/>
          <w:sz w:val="24"/>
          <w:szCs w:val="24"/>
          <w:lang w:val="pt-BR"/>
        </w:rPr>
        <w:t xml:space="preserve">A inclusão da etapa de ozonização promoveu esterilidade microbiológica das amostras sem comprometimento da integridade </w:t>
      </w:r>
      <w:r w:rsidR="00A37AF1">
        <w:rPr>
          <w:bCs/>
          <w:color w:val="010101"/>
          <w:w w:val="105"/>
          <w:sz w:val="24"/>
          <w:szCs w:val="24"/>
          <w:lang w:val="pt-BR"/>
        </w:rPr>
        <w:t>morfo</w:t>
      </w:r>
      <w:r w:rsidR="00A37AF1" w:rsidRPr="00A37AF1">
        <w:rPr>
          <w:bCs/>
          <w:color w:val="010101"/>
          <w:w w:val="105"/>
          <w:sz w:val="24"/>
          <w:szCs w:val="24"/>
          <w:lang w:val="pt-BR"/>
        </w:rPr>
        <w:t xml:space="preserve">estrutural do tecido. Nos equinos acometidos por </w:t>
      </w:r>
      <w:proofErr w:type="spellStart"/>
      <w:r w:rsidR="00A37AF1" w:rsidRPr="00A37AF1">
        <w:rPr>
          <w:bCs/>
          <w:color w:val="010101"/>
          <w:w w:val="105"/>
          <w:sz w:val="24"/>
          <w:szCs w:val="24"/>
          <w:lang w:val="pt-BR"/>
        </w:rPr>
        <w:t>habronemose</w:t>
      </w:r>
      <w:proofErr w:type="spellEnd"/>
      <w:r w:rsidR="00A37AF1" w:rsidRPr="00A37AF1">
        <w:rPr>
          <w:bCs/>
          <w:color w:val="010101"/>
          <w:w w:val="105"/>
          <w:sz w:val="24"/>
          <w:szCs w:val="24"/>
          <w:lang w:val="pt-BR"/>
        </w:rPr>
        <w:t xml:space="preserve"> cutânea, observou-se resposta cicatricial inicial favorável,</w:t>
      </w:r>
      <w:r w:rsidR="00BA23E8">
        <w:rPr>
          <w:bCs/>
          <w:color w:val="010101"/>
          <w:w w:val="105"/>
          <w:sz w:val="24"/>
          <w:szCs w:val="24"/>
          <w:lang w:val="pt-BR"/>
        </w:rPr>
        <w:t xml:space="preserve"> </w:t>
      </w:r>
      <w:r w:rsidR="0044770C">
        <w:rPr>
          <w:bCs/>
          <w:color w:val="010101"/>
          <w:w w:val="105"/>
          <w:sz w:val="24"/>
          <w:szCs w:val="24"/>
          <w:lang w:val="pt-BR"/>
        </w:rPr>
        <w:t>c</w:t>
      </w:r>
      <w:r w:rsidR="00BA23E8" w:rsidRPr="00BA23E8">
        <w:rPr>
          <w:bCs/>
          <w:color w:val="010101"/>
          <w:w w:val="105"/>
          <w:sz w:val="24"/>
          <w:szCs w:val="24"/>
          <w:lang w:val="pt-BR"/>
        </w:rPr>
        <w:t xml:space="preserve">om limitação associada à fixação do biomaterial </w:t>
      </w:r>
      <w:r w:rsidR="00BA23E8" w:rsidRPr="00BA23E8">
        <w:rPr>
          <w:bCs/>
          <w:color w:val="010101"/>
          <w:w w:val="105"/>
          <w:sz w:val="24"/>
          <w:szCs w:val="24"/>
          <w:lang w:val="pt-BR"/>
        </w:rPr>
        <w:lastRenderedPageBreak/>
        <w:t>em regiões de intensa movimentação</w:t>
      </w:r>
      <w:r w:rsidR="00A37AF1" w:rsidRPr="00A37AF1">
        <w:rPr>
          <w:bCs/>
          <w:color w:val="010101"/>
          <w:w w:val="105"/>
          <w:sz w:val="24"/>
          <w:szCs w:val="24"/>
          <w:lang w:val="pt-BR"/>
        </w:rPr>
        <w:t>. Em contrapartida, nos casos clínicos envolvendo bovinos</w:t>
      </w:r>
      <w:r w:rsidR="00A37AF1">
        <w:rPr>
          <w:bCs/>
          <w:color w:val="010101"/>
          <w:w w:val="105"/>
          <w:sz w:val="24"/>
          <w:szCs w:val="24"/>
          <w:lang w:val="pt-BR"/>
        </w:rPr>
        <w:t>, caninos e</w:t>
      </w:r>
      <w:r w:rsidR="00A37AF1" w:rsidRPr="00A37AF1">
        <w:rPr>
          <w:bCs/>
          <w:color w:val="010101"/>
          <w:w w:val="105"/>
          <w:sz w:val="24"/>
          <w:szCs w:val="24"/>
          <w:lang w:val="pt-BR"/>
        </w:rPr>
        <w:t xml:space="preserve"> felinos, o </w:t>
      </w:r>
      <w:proofErr w:type="spellStart"/>
      <w:r w:rsidR="00A37AF1" w:rsidRPr="00A37AF1">
        <w:rPr>
          <w:bCs/>
          <w:color w:val="010101"/>
          <w:w w:val="105"/>
          <w:sz w:val="24"/>
          <w:szCs w:val="24"/>
          <w:lang w:val="pt-BR"/>
        </w:rPr>
        <w:t>xenoenxerto</w:t>
      </w:r>
      <w:proofErr w:type="spellEnd"/>
      <w:r w:rsidR="00A37AF1" w:rsidRPr="00A37AF1">
        <w:rPr>
          <w:bCs/>
          <w:color w:val="010101"/>
          <w:w w:val="105"/>
          <w:sz w:val="24"/>
          <w:szCs w:val="24"/>
          <w:lang w:val="pt-BR"/>
        </w:rPr>
        <w:t xml:space="preserve"> apresentou elevada aderência ao leito da ferida,</w:t>
      </w:r>
      <w:r w:rsidR="00BA23E8" w:rsidRPr="00BA23E8">
        <w:rPr>
          <w:sz w:val="22"/>
          <w:szCs w:val="22"/>
          <w:lang w:val="pt-BR"/>
        </w:rPr>
        <w:t xml:space="preserve"> </w:t>
      </w:r>
      <w:r w:rsidR="00BA23E8" w:rsidRPr="00BA23E8">
        <w:rPr>
          <w:bCs/>
          <w:color w:val="010101"/>
          <w:w w:val="105"/>
          <w:sz w:val="24"/>
          <w:szCs w:val="24"/>
          <w:lang w:val="pt-BR"/>
        </w:rPr>
        <w:t>adequada integração tecidual e cicatrização satisfatória</w:t>
      </w:r>
      <w:r w:rsidR="00A37AF1" w:rsidRPr="00A37AF1">
        <w:rPr>
          <w:bCs/>
          <w:color w:val="010101"/>
          <w:w w:val="105"/>
          <w:sz w:val="24"/>
          <w:szCs w:val="24"/>
          <w:lang w:val="pt-BR"/>
        </w:rPr>
        <w:t>, sem ocorrência de infecção secundária.</w:t>
      </w:r>
      <w:r w:rsidR="00EB56A9">
        <w:rPr>
          <w:bCs/>
          <w:color w:val="010101"/>
          <w:w w:val="105"/>
          <w:sz w:val="24"/>
          <w:szCs w:val="24"/>
          <w:lang w:val="pt-BR"/>
        </w:rPr>
        <w:t xml:space="preserve"> </w:t>
      </w:r>
      <w:r w:rsidR="00EB56A9" w:rsidRPr="00EB56A9">
        <w:rPr>
          <w:bCs/>
          <w:color w:val="010101"/>
          <w:w w:val="105"/>
          <w:sz w:val="24"/>
          <w:szCs w:val="24"/>
          <w:lang w:val="pt-BR"/>
        </w:rPr>
        <w:t>Os achados evidenciam o potencial terapêutico da pele de tilápia como biomaterial regenerativo aplicável a diferentes espécies animais.</w:t>
      </w:r>
      <w:r w:rsidR="00A37AF1" w:rsidRPr="00A37AF1">
        <w:rPr>
          <w:bCs/>
          <w:color w:val="010101"/>
          <w:w w:val="105"/>
          <w:sz w:val="24"/>
          <w:szCs w:val="24"/>
          <w:lang w:val="pt-BR"/>
        </w:rPr>
        <w:t xml:space="preserve"> </w:t>
      </w:r>
      <w:r w:rsidRPr="004A623E">
        <w:rPr>
          <w:b/>
          <w:bCs/>
          <w:color w:val="010101"/>
          <w:w w:val="105"/>
          <w:sz w:val="24"/>
          <w:szCs w:val="24"/>
          <w:lang w:val="pt-BR"/>
        </w:rPr>
        <w:t>Conclusões:</w:t>
      </w:r>
      <w:r w:rsidR="00EB56A9">
        <w:rPr>
          <w:b/>
          <w:bCs/>
          <w:color w:val="010101"/>
          <w:w w:val="105"/>
          <w:sz w:val="24"/>
          <w:szCs w:val="24"/>
          <w:lang w:val="pt-BR"/>
        </w:rPr>
        <w:t xml:space="preserve"> </w:t>
      </w:r>
      <w:r w:rsidR="00EB56A9" w:rsidRPr="00EB56A9">
        <w:rPr>
          <w:color w:val="010101"/>
          <w:w w:val="105"/>
          <w:sz w:val="24"/>
          <w:szCs w:val="24"/>
          <w:lang w:val="pt-BR"/>
        </w:rPr>
        <w:t xml:space="preserve">A padronização do protocolo de processamento associada à ozonização demonstrou ser eficaz para garantir segurança microbiológica sem comprometer </w:t>
      </w:r>
      <w:r w:rsidR="0044770C">
        <w:rPr>
          <w:color w:val="010101"/>
          <w:w w:val="105"/>
          <w:sz w:val="24"/>
          <w:szCs w:val="24"/>
          <w:lang w:val="pt-BR"/>
        </w:rPr>
        <w:t>sua integridade estrutural.</w:t>
      </w:r>
      <w:r w:rsidR="00EB56A9" w:rsidRPr="00EB56A9">
        <w:rPr>
          <w:color w:val="010101"/>
          <w:w w:val="105"/>
          <w:sz w:val="24"/>
          <w:szCs w:val="24"/>
          <w:lang w:val="pt-BR"/>
        </w:rPr>
        <w:t xml:space="preserve"> A aplicação clínica evidenciou adequada aderência ao leito da ferida e evolução cicatricial satisfatória em diferentes espécies animais. Esses achados reforçam o potencial da pele de tilápia como biomaterial regenerativo seguro, acessível e sustentável, consolidando-se como alternativa biotecnológica promissora para o tratamento de lesões cutâneas na medicina veterinária.</w:t>
      </w:r>
      <w:r w:rsidR="00A37AF1">
        <w:rPr>
          <w:b/>
          <w:color w:val="010101"/>
          <w:w w:val="105"/>
          <w:sz w:val="24"/>
          <w:szCs w:val="24"/>
          <w:lang w:val="pt-BR"/>
        </w:rPr>
        <w:t xml:space="preserve"> </w:t>
      </w:r>
    </w:p>
    <w:p w14:paraId="431CE396" w14:textId="46EB5F16" w:rsidR="00E802E2" w:rsidRPr="004A51A0" w:rsidRDefault="00E802E2" w:rsidP="00E802E2">
      <w:pPr>
        <w:pStyle w:val="Corpodetexto"/>
        <w:spacing w:before="153" w:line="321" w:lineRule="auto"/>
        <w:ind w:right="117"/>
        <w:jc w:val="both"/>
        <w:rPr>
          <w:bCs/>
          <w:color w:val="010101"/>
          <w:spacing w:val="-9"/>
          <w:w w:val="105"/>
          <w:sz w:val="24"/>
          <w:szCs w:val="24"/>
          <w:lang w:val="pt-BR"/>
        </w:rPr>
      </w:pPr>
      <w:r w:rsidRPr="002A21F5">
        <w:rPr>
          <w:b/>
          <w:color w:val="010101"/>
          <w:w w:val="105"/>
          <w:sz w:val="24"/>
          <w:szCs w:val="24"/>
          <w:lang w:val="pt-BR"/>
        </w:rPr>
        <w:t>Palavras-chave:</w:t>
      </w:r>
      <w:r>
        <w:rPr>
          <w:b/>
          <w:color w:val="010101"/>
          <w:spacing w:val="-11"/>
          <w:w w:val="105"/>
          <w:sz w:val="24"/>
          <w:szCs w:val="24"/>
          <w:lang w:val="pt-BR"/>
        </w:rPr>
        <w:t xml:space="preserve"> </w:t>
      </w:r>
      <w:r w:rsidR="004A51A0" w:rsidRPr="004A51A0">
        <w:rPr>
          <w:bCs/>
          <w:color w:val="010101"/>
          <w:spacing w:val="-11"/>
          <w:w w:val="105"/>
          <w:sz w:val="24"/>
          <w:szCs w:val="24"/>
          <w:lang w:val="pt-BR"/>
        </w:rPr>
        <w:t xml:space="preserve">pele de tilápia; </w:t>
      </w:r>
      <w:proofErr w:type="spellStart"/>
      <w:r w:rsidR="004A51A0" w:rsidRPr="004A51A0">
        <w:rPr>
          <w:bCs/>
          <w:color w:val="010101"/>
          <w:spacing w:val="-11"/>
          <w:w w:val="105"/>
          <w:sz w:val="24"/>
          <w:szCs w:val="24"/>
          <w:lang w:val="pt-BR"/>
        </w:rPr>
        <w:t>xenoenxerto</w:t>
      </w:r>
      <w:proofErr w:type="spellEnd"/>
      <w:r w:rsidR="004A51A0" w:rsidRPr="004A51A0">
        <w:rPr>
          <w:bCs/>
          <w:color w:val="010101"/>
          <w:spacing w:val="-11"/>
          <w:w w:val="105"/>
          <w:sz w:val="24"/>
          <w:szCs w:val="24"/>
          <w:lang w:val="pt-BR"/>
        </w:rPr>
        <w:t>; biomaterial regenerativo; ozonização; medicina regenerativa veterinária.</w:t>
      </w:r>
    </w:p>
    <w:p w14:paraId="4653DBAA" w14:textId="77777777" w:rsidR="00E802E2" w:rsidRPr="004A51A0" w:rsidRDefault="00E802E2" w:rsidP="00E802E2">
      <w:pPr>
        <w:pStyle w:val="Corpodetexto"/>
        <w:spacing w:before="153" w:line="321" w:lineRule="auto"/>
        <w:ind w:right="117"/>
        <w:jc w:val="both"/>
        <w:rPr>
          <w:bCs/>
          <w:color w:val="010101"/>
          <w:spacing w:val="-9"/>
          <w:w w:val="105"/>
          <w:sz w:val="24"/>
          <w:szCs w:val="24"/>
          <w:lang w:val="pt-BR"/>
        </w:rPr>
      </w:pPr>
    </w:p>
    <w:p w14:paraId="0C922849" w14:textId="77777777" w:rsidR="008B1FAD" w:rsidRPr="00E802E2" w:rsidRDefault="008B1FAD">
      <w:pPr>
        <w:rPr>
          <w:lang w:val="pt-BR"/>
        </w:rPr>
      </w:pPr>
    </w:p>
    <w:sectPr w:rsidR="008B1FAD" w:rsidRPr="00E80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E5CCE"/>
    <w:multiLevelType w:val="hybridMultilevel"/>
    <w:tmpl w:val="4554238A"/>
    <w:lvl w:ilvl="0" w:tplc="D6F8A35E">
      <w:start w:val="1"/>
      <w:numFmt w:val="decimal"/>
      <w:lvlText w:val="%1."/>
      <w:lvlJc w:val="left"/>
      <w:pPr>
        <w:ind w:left="108" w:hanging="22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19"/>
        <w:szCs w:val="19"/>
      </w:rPr>
    </w:lvl>
    <w:lvl w:ilvl="1" w:tplc="C8D084EE">
      <w:start w:val="1"/>
      <w:numFmt w:val="decimal"/>
      <w:lvlText w:val="%2."/>
      <w:lvlJc w:val="left"/>
      <w:pPr>
        <w:ind w:left="756" w:hanging="368"/>
      </w:pPr>
      <w:rPr>
        <w:rFonts w:hint="default"/>
        <w:spacing w:val="-1"/>
        <w:w w:val="54"/>
      </w:rPr>
    </w:lvl>
    <w:lvl w:ilvl="2" w:tplc="00E0ECD2">
      <w:numFmt w:val="bullet"/>
      <w:lvlText w:val="•"/>
      <w:lvlJc w:val="left"/>
      <w:pPr>
        <w:ind w:left="1647" w:hanging="368"/>
      </w:pPr>
      <w:rPr>
        <w:rFonts w:hint="default"/>
      </w:rPr>
    </w:lvl>
    <w:lvl w:ilvl="3" w:tplc="EB0E3B06">
      <w:numFmt w:val="bullet"/>
      <w:lvlText w:val="•"/>
      <w:lvlJc w:val="left"/>
      <w:pPr>
        <w:ind w:left="2534" w:hanging="368"/>
      </w:pPr>
      <w:rPr>
        <w:rFonts w:hint="default"/>
      </w:rPr>
    </w:lvl>
    <w:lvl w:ilvl="4" w:tplc="B7408A0C">
      <w:numFmt w:val="bullet"/>
      <w:lvlText w:val="•"/>
      <w:lvlJc w:val="left"/>
      <w:pPr>
        <w:ind w:left="3421" w:hanging="368"/>
      </w:pPr>
      <w:rPr>
        <w:rFonts w:hint="default"/>
      </w:rPr>
    </w:lvl>
    <w:lvl w:ilvl="5" w:tplc="96409AA2">
      <w:numFmt w:val="bullet"/>
      <w:lvlText w:val="•"/>
      <w:lvlJc w:val="left"/>
      <w:pPr>
        <w:ind w:left="4309" w:hanging="368"/>
      </w:pPr>
      <w:rPr>
        <w:rFonts w:hint="default"/>
      </w:rPr>
    </w:lvl>
    <w:lvl w:ilvl="6" w:tplc="A53A542C">
      <w:numFmt w:val="bullet"/>
      <w:lvlText w:val="•"/>
      <w:lvlJc w:val="left"/>
      <w:pPr>
        <w:ind w:left="5196" w:hanging="368"/>
      </w:pPr>
      <w:rPr>
        <w:rFonts w:hint="default"/>
      </w:rPr>
    </w:lvl>
    <w:lvl w:ilvl="7" w:tplc="A53C7ACA">
      <w:numFmt w:val="bullet"/>
      <w:lvlText w:val="•"/>
      <w:lvlJc w:val="left"/>
      <w:pPr>
        <w:ind w:left="6083" w:hanging="368"/>
      </w:pPr>
      <w:rPr>
        <w:rFonts w:hint="default"/>
      </w:rPr>
    </w:lvl>
    <w:lvl w:ilvl="8" w:tplc="39D87FDC">
      <w:numFmt w:val="bullet"/>
      <w:lvlText w:val="•"/>
      <w:lvlJc w:val="left"/>
      <w:pPr>
        <w:ind w:left="6970" w:hanging="368"/>
      </w:pPr>
      <w:rPr>
        <w:rFonts w:hint="default"/>
      </w:rPr>
    </w:lvl>
  </w:abstractNum>
  <w:abstractNum w:abstractNumId="1" w15:restartNumberingAfterBreak="0">
    <w:nsid w:val="7987069C"/>
    <w:multiLevelType w:val="hybridMultilevel"/>
    <w:tmpl w:val="B986F706"/>
    <w:lvl w:ilvl="0" w:tplc="BCA49878">
      <w:start w:val="2"/>
      <w:numFmt w:val="decimal"/>
      <w:lvlText w:val="%1-"/>
      <w:lvlJc w:val="left"/>
      <w:pPr>
        <w:ind w:left="464" w:hanging="360"/>
      </w:pPr>
      <w:rPr>
        <w:rFonts w:hint="default"/>
        <w:color w:val="010101"/>
        <w:w w:val="110"/>
      </w:rPr>
    </w:lvl>
    <w:lvl w:ilvl="1" w:tplc="04160019" w:tentative="1">
      <w:start w:val="1"/>
      <w:numFmt w:val="lowerLetter"/>
      <w:lvlText w:val="%2."/>
      <w:lvlJc w:val="left"/>
      <w:pPr>
        <w:ind w:left="1184" w:hanging="360"/>
      </w:pPr>
    </w:lvl>
    <w:lvl w:ilvl="2" w:tplc="0416001B" w:tentative="1">
      <w:start w:val="1"/>
      <w:numFmt w:val="lowerRoman"/>
      <w:lvlText w:val="%3."/>
      <w:lvlJc w:val="right"/>
      <w:pPr>
        <w:ind w:left="1904" w:hanging="180"/>
      </w:pPr>
    </w:lvl>
    <w:lvl w:ilvl="3" w:tplc="0416000F" w:tentative="1">
      <w:start w:val="1"/>
      <w:numFmt w:val="decimal"/>
      <w:lvlText w:val="%4."/>
      <w:lvlJc w:val="left"/>
      <w:pPr>
        <w:ind w:left="2624" w:hanging="360"/>
      </w:pPr>
    </w:lvl>
    <w:lvl w:ilvl="4" w:tplc="04160019" w:tentative="1">
      <w:start w:val="1"/>
      <w:numFmt w:val="lowerLetter"/>
      <w:lvlText w:val="%5."/>
      <w:lvlJc w:val="left"/>
      <w:pPr>
        <w:ind w:left="3344" w:hanging="360"/>
      </w:pPr>
    </w:lvl>
    <w:lvl w:ilvl="5" w:tplc="0416001B" w:tentative="1">
      <w:start w:val="1"/>
      <w:numFmt w:val="lowerRoman"/>
      <w:lvlText w:val="%6."/>
      <w:lvlJc w:val="right"/>
      <w:pPr>
        <w:ind w:left="4064" w:hanging="180"/>
      </w:pPr>
    </w:lvl>
    <w:lvl w:ilvl="6" w:tplc="0416000F" w:tentative="1">
      <w:start w:val="1"/>
      <w:numFmt w:val="decimal"/>
      <w:lvlText w:val="%7."/>
      <w:lvlJc w:val="left"/>
      <w:pPr>
        <w:ind w:left="4784" w:hanging="360"/>
      </w:pPr>
    </w:lvl>
    <w:lvl w:ilvl="7" w:tplc="04160019" w:tentative="1">
      <w:start w:val="1"/>
      <w:numFmt w:val="lowerLetter"/>
      <w:lvlText w:val="%8."/>
      <w:lvlJc w:val="left"/>
      <w:pPr>
        <w:ind w:left="5504" w:hanging="360"/>
      </w:pPr>
    </w:lvl>
    <w:lvl w:ilvl="8" w:tplc="0416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531723231">
    <w:abstractNumId w:val="0"/>
  </w:num>
  <w:num w:numId="2" w16cid:durableId="162562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6F"/>
    <w:rsid w:val="0001674E"/>
    <w:rsid w:val="000908F8"/>
    <w:rsid w:val="001D0035"/>
    <w:rsid w:val="001F156F"/>
    <w:rsid w:val="001F21CD"/>
    <w:rsid w:val="002A7493"/>
    <w:rsid w:val="002B60D9"/>
    <w:rsid w:val="002D012B"/>
    <w:rsid w:val="00373CC4"/>
    <w:rsid w:val="0038721B"/>
    <w:rsid w:val="003D054F"/>
    <w:rsid w:val="004311B5"/>
    <w:rsid w:val="0044770C"/>
    <w:rsid w:val="00452513"/>
    <w:rsid w:val="0047628C"/>
    <w:rsid w:val="00480972"/>
    <w:rsid w:val="004A51A0"/>
    <w:rsid w:val="004F0AE6"/>
    <w:rsid w:val="00753B8A"/>
    <w:rsid w:val="008B1FAD"/>
    <w:rsid w:val="009122A5"/>
    <w:rsid w:val="00934686"/>
    <w:rsid w:val="009454FB"/>
    <w:rsid w:val="009F69A4"/>
    <w:rsid w:val="00A37AF1"/>
    <w:rsid w:val="00A76BD3"/>
    <w:rsid w:val="00A86272"/>
    <w:rsid w:val="00BA0A4F"/>
    <w:rsid w:val="00BA23E8"/>
    <w:rsid w:val="00BF774A"/>
    <w:rsid w:val="00CD1F69"/>
    <w:rsid w:val="00D2770D"/>
    <w:rsid w:val="00E11F58"/>
    <w:rsid w:val="00E802E2"/>
    <w:rsid w:val="00EB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A98D"/>
  <w15:chartTrackingRefBased/>
  <w15:docId w15:val="{5423CB05-1D62-4566-9BA1-0DEBBA9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02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1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1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15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15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15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15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1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15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156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15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15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15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15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1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1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15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1F15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15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1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15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156F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E802E2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E802E2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Reviso">
    <w:name w:val="Revision"/>
    <w:hidden/>
    <w:uiPriority w:val="99"/>
    <w:semiHidden/>
    <w:rsid w:val="009122A5"/>
    <w:pPr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Vargas</dc:creator>
  <cp:keywords/>
  <dc:description/>
  <cp:lastModifiedBy>Davi Vargas</cp:lastModifiedBy>
  <cp:revision>5</cp:revision>
  <dcterms:created xsi:type="dcterms:W3CDTF">2026-03-12T15:51:00Z</dcterms:created>
  <dcterms:modified xsi:type="dcterms:W3CDTF">2026-03-13T10:30:00Z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18a661ad-bfad-4b28-b44f-c8d3db4b0196</vt:lpwstr>
  </property>
</Properties>
</file>