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Title"/>
        <w:spacing w:after="120" w:lineRule="auto"/>
        <w:jc w:val="center"/>
        <w:rPr>
          <w:rFonts w:ascii="Times New Roman" w:cs="Times New Roman" w:eastAsia="Times New Roman" w:hAnsi="Times New Roman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Style w:val="Title"/>
        <w:spacing w:after="120" w:lineRule="auto"/>
        <w:jc w:val="center"/>
        <w:rPr>
          <w:rFonts w:ascii="Times New Roman" w:cs="Times New Roman" w:eastAsia="Times New Roman" w:hAnsi="Times New Roman"/>
          <w:b w:val="0"/>
          <w:bCs w:val="0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MODELO DE RESUMO EXPANDIDO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Style w:val="Title"/>
        <w:spacing w:after="12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Style w:val="Title"/>
        <w:spacing w:after="120" w:lineRule="auto"/>
        <w:jc w:val="center"/>
        <w:rPr>
          <w:rFonts w:ascii="Times New Roman" w:cs="Times New Roman" w:eastAsia="Times New Roman" w:hAnsi="Times New Roman"/>
          <w:b w:val="0"/>
          <w:bCs w:val="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CARACTERIZAÇÃO FISIOGRÁFICA DA BACIA HIDROGRÁFICA DO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RIACHO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SÍTIO DOS PINTOS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05">
      <w:pPr>
        <w:spacing w:after="120" w:lineRule="auto"/>
        <w:jc w:val="center"/>
        <w:rPr>
          <w:sz w:val="24"/>
          <w:szCs w:val="24"/>
          <w:vertAlign w:val="superscript"/>
        </w:rPr>
      </w:pPr>
      <w:r w:rsidDel="00000000" w:rsidR="00000000" w:rsidRPr="00000000">
        <w:rPr>
          <w:i w:val="1"/>
          <w:iCs w:val="1"/>
          <w:sz w:val="24"/>
          <w:szCs w:val="24"/>
          <w:rtl w:val="0"/>
        </w:rPr>
        <w:t xml:space="preserve">Lucas Mota França dos Santos </w:t>
      </w:r>
      <w:r w:rsidDel="00000000" w:rsidR="00000000" w:rsidRPr="00000000">
        <w:rPr>
          <w:i w:val="1"/>
          <w:iCs w:val="1"/>
          <w:sz w:val="24"/>
          <w:szCs w:val="24"/>
          <w:vertAlign w:val="superscript"/>
        </w:rPr>
        <w:footnoteReference w:customMarkFollows="0" w:id="0"/>
      </w:r>
      <w:r w:rsidDel="00000000" w:rsidR="00000000" w:rsidRPr="00000000">
        <w:rPr>
          <w:i w:val="1"/>
          <w:iCs w:val="1"/>
          <w:sz w:val="24"/>
          <w:szCs w:val="24"/>
          <w:rtl w:val="0"/>
        </w:rPr>
        <w:t xml:space="preserve"> ; Lara França da Silva </w:t>
      </w:r>
      <w:r w:rsidDel="00000000" w:rsidR="00000000" w:rsidRPr="00000000">
        <w:rPr>
          <w:i w:val="1"/>
          <w:iCs w:val="1"/>
          <w:sz w:val="24"/>
          <w:szCs w:val="24"/>
          <w:vertAlign w:val="superscript"/>
        </w:rPr>
        <w:footnoteReference w:customMarkFollows="0" w:id="1"/>
      </w:r>
      <w:r w:rsidDel="00000000" w:rsidR="00000000" w:rsidRPr="00000000">
        <w:rPr>
          <w:i w:val="1"/>
          <w:iCs w:val="1"/>
          <w:sz w:val="24"/>
          <w:szCs w:val="24"/>
          <w:rtl w:val="0"/>
        </w:rPr>
        <w:t xml:space="preserve">; Flávio Lucas Azevedo Ferreira </w:t>
      </w:r>
      <w:r w:rsidDel="00000000" w:rsidR="00000000" w:rsidRPr="00000000">
        <w:rPr>
          <w:i w:val="1"/>
          <w:iCs w:val="1"/>
          <w:sz w:val="24"/>
          <w:szCs w:val="24"/>
          <w:vertAlign w:val="superscript"/>
          <w:rtl w:val="0"/>
        </w:rPr>
        <w:t xml:space="preserve">3</w:t>
      </w:r>
      <w:r w:rsidDel="00000000" w:rsidR="00000000" w:rsidRPr="00000000">
        <w:rPr>
          <w:i w:val="1"/>
          <w:iCs w:val="1"/>
          <w:sz w:val="24"/>
          <w:szCs w:val="24"/>
          <w:rtl w:val="0"/>
        </w:rPr>
        <w:t xml:space="preserve">; Vicente de Paulo Silva </w:t>
      </w:r>
      <w:r w:rsidDel="00000000" w:rsidR="00000000" w:rsidRPr="00000000">
        <w:rPr>
          <w:i w:val="1"/>
          <w:iCs w:val="1"/>
          <w:sz w:val="24"/>
          <w:szCs w:val="24"/>
          <w:vertAlign w:val="superscript"/>
          <w:rtl w:val="0"/>
        </w:rPr>
        <w:t xml:space="preserve">4</w:t>
      </w:r>
      <w:r w:rsidDel="00000000" w:rsidR="00000000" w:rsidRPr="00000000">
        <w:rPr>
          <w:i w:val="1"/>
          <w:iCs w:val="1"/>
          <w:sz w:val="24"/>
          <w:szCs w:val="24"/>
          <w:rtl w:val="0"/>
        </w:rPr>
        <w:t xml:space="preserve">; Thiago Cabral Nepomuceno </w:t>
      </w:r>
      <w:r w:rsidDel="00000000" w:rsidR="00000000" w:rsidRPr="00000000">
        <w:rPr>
          <w:i w:val="1"/>
          <w:iCs w:val="1"/>
          <w:sz w:val="24"/>
          <w:szCs w:val="24"/>
          <w:vertAlign w:val="superscript"/>
          <w:rtl w:val="0"/>
        </w:rPr>
        <w:t xml:space="preserve">5</w:t>
      </w:r>
      <w:r w:rsidDel="00000000" w:rsidR="00000000" w:rsidRPr="00000000">
        <w:rPr>
          <w:sz w:val="24"/>
          <w:szCs w:val="24"/>
          <w:rtl w:val="0"/>
        </w:rPr>
        <w:t xml:space="preserve">;</w:t>
      </w:r>
      <w:r w:rsidDel="00000000" w:rsidR="00000000" w:rsidRPr="00000000">
        <w:rPr>
          <w:i w:val="1"/>
          <w:iCs w:val="1"/>
          <w:sz w:val="24"/>
          <w:szCs w:val="24"/>
          <w:rtl w:val="0"/>
        </w:rPr>
        <w:t xml:space="preserve"> Julio Correa da Silva de Oliveira Andrad</w:t>
      </w:r>
      <w:r w:rsidDel="00000000" w:rsidR="00000000" w:rsidRPr="00000000">
        <w:rPr>
          <w:sz w:val="24"/>
          <w:szCs w:val="24"/>
          <w:rtl w:val="0"/>
        </w:rPr>
        <w:t xml:space="preserve">e </w:t>
      </w:r>
      <w:r w:rsidDel="00000000" w:rsidR="00000000" w:rsidRPr="00000000">
        <w:rPr>
          <w:sz w:val="24"/>
          <w:szCs w:val="24"/>
          <w:vertAlign w:val="superscript"/>
          <w:rtl w:val="0"/>
        </w:rPr>
        <w:t xml:space="preserve">6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Palavras-chave: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Fisiografia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sz w:val="24"/>
          <w:szCs w:val="24"/>
          <w:u w:val="none"/>
          <w:vertAlign w:val="baseline"/>
          <w:rtl w:val="0"/>
        </w:rPr>
        <w:t xml:space="preserve">, </w:t>
      </w:r>
      <w:r w:rsidDel="00000000" w:rsidR="00000000" w:rsidRPr="00000000">
        <w:rPr>
          <w:sz w:val="24"/>
          <w:szCs w:val="24"/>
          <w:rtl w:val="0"/>
        </w:rPr>
        <w:t xml:space="preserve">hidrologia, sensoriamento remoto, parâmetros hidrológicos, geoprocessamento.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INTRODUÇÃO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0" w:right="0" w:firstLine="562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No contexto de gestão de recursos hídricos, compreender a importância das bacias hidrográficas é fundamental para a preservação dos recursos naturais, especialmente a água, pois, as bacias hidrográficas desempenham papel fundamental na manutenção da vida, do ecossistema, equilíbrio ecológico, preservação da vegetação, entre outras características de um local (</w:t>
      </w:r>
      <w:r w:rsidDel="00000000" w:rsidR="00000000" w:rsidRPr="00000000">
        <w:rPr>
          <w:sz w:val="24"/>
          <w:szCs w:val="24"/>
          <w:rtl w:val="0"/>
        </w:rPr>
        <w:t xml:space="preserve">Dornelas, 2025)</w:t>
      </w:r>
      <w:r w:rsidDel="00000000" w:rsidR="00000000" w:rsidRPr="00000000">
        <w:rPr>
          <w:sz w:val="24"/>
          <w:szCs w:val="24"/>
          <w:rtl w:val="0"/>
        </w:rPr>
        <w:t xml:space="preserve">. 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0" w:right="0" w:firstLine="562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No município de Recife, semelhante a maior parte das cidades brasileiras, o processo de urbanização ocorreu de forma desordenada, o que ocasionou ocupação irregular de moradias e construções. Por ser uma cidade localizada em zona tropical, existe a ocorrência de eventos atmosféricos chuvosos, que causam diversos prejuízos urbanos, principalmente nas áreas sem estrutura urbana </w:t>
      </w:r>
      <w:r w:rsidDel="00000000" w:rsidR="00000000" w:rsidRPr="00000000">
        <w:rPr>
          <w:sz w:val="24"/>
          <w:szCs w:val="24"/>
          <w:rtl w:val="0"/>
        </w:rPr>
        <w:t xml:space="preserve">(Anjos et al, 2024)</w:t>
      </w:r>
      <w:r w:rsidDel="00000000" w:rsidR="00000000" w:rsidRPr="00000000">
        <w:rPr>
          <w:sz w:val="24"/>
          <w:szCs w:val="24"/>
          <w:rtl w:val="0"/>
        </w:rPr>
        <w:t xml:space="preserve">.  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0" w:right="0" w:firstLine="562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 Riacho do Sítio dos Pintos, localizado no bairro de Sítio dos Pintos, no município de Recife, faz parte da Bacia Hidrográfica do Rio Capibaribe. Estudos de Carvalho </w:t>
      </w:r>
      <w:r w:rsidDel="00000000" w:rsidR="00000000" w:rsidRPr="00000000">
        <w:rPr>
          <w:sz w:val="24"/>
          <w:szCs w:val="24"/>
          <w:rtl w:val="0"/>
        </w:rPr>
        <w:t xml:space="preserve">Filho et al. (2024)</w:t>
      </w:r>
      <w:r w:rsidDel="00000000" w:rsidR="00000000" w:rsidRPr="00000000">
        <w:rPr>
          <w:sz w:val="24"/>
          <w:szCs w:val="24"/>
          <w:rtl w:val="0"/>
        </w:rPr>
        <w:t xml:space="preserve"> apontam que a qualidade da água do Riacho Sítio dos Pintos apresenta desconformidade com a legislação, em parâmetros como oxigênio dissolvido, fósforo total, coliformes termotolerantes, entre outros. Portanto, são necessárias ações de caracterização e intervenções na bacia do Riacho do Sítio dos Pintos. Dessa forma, o presente trabalho objetiva apresentar e discutir as características fisiográficas da bacia hidrográfica do Riacho Sítio dos Pintos, localizada em Recife-PE, e a influência que exercem sobre seus padrões hídricos.</w:t>
      </w:r>
    </w:p>
    <w:p w:rsidR="00000000" w:rsidDel="00000000" w:rsidP="00000000" w:rsidRDefault="00000000" w:rsidRPr="00000000" w14:paraId="0000000D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1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METODOLOGIA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0" w:right="0" w:firstLine="562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caracterização fisiográfica da bacia do Riacho Sítio dos Pintos foi realizada em ambiente SIG, utilizando o software QGIS e o Modelo Digital de Terreno (MDT) do Programa Pernambuco Tridimensional (PE3D), gerado a partir de dados LiDAR com resolução espacial de 5 m e escala 1:5.000, o que possibilitou o detalhamento da topografia e das feições hidrológicas da área de estudo. O processamento incluiu a correção de depressões espúrias, o cálculo da direção e do acúmulo de fluxo e a extração automática da rede de drenagem, permitindo a identificação do exutório e a delimitação precisa da sub-bacia.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0" w:right="0" w:firstLine="562"/>
        <w:jc w:val="both"/>
        <w:rPr>
          <w:sz w:val="24"/>
          <w:szCs w:val="24"/>
          <w:shd w:fill="fff2cc" w:val="clear"/>
        </w:rPr>
      </w:pPr>
      <w:r w:rsidDel="00000000" w:rsidR="00000000" w:rsidRPr="00000000">
        <w:rPr>
          <w:sz w:val="24"/>
          <w:szCs w:val="24"/>
          <w:rtl w:val="0"/>
        </w:rPr>
        <w:t xml:space="preserve">Em seguida, foram extraídos no QGIS os parâmetros fisiográficos relacionados à geometria da bacia, à estrutura da rede de drenagem e às características do relevo. A partir desses parâmetros, foram calculados os índices fisiográficos (Tabela 1) , obtidos por meio de análises raster e vetoriais, possibilitando compreender como os atributos físicos condicionam o comportamento hidrológico da bacia.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1"/>
        <w:keepLines w:val="1"/>
        <w:spacing w:after="120" w:lineRule="auto"/>
        <w:jc w:val="center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Tabela 1 – Índices fisiográficos calculados.</w:t>
      </w:r>
    </w:p>
    <w:tbl>
      <w:tblPr>
        <w:tblStyle w:val="Table1"/>
        <w:tblW w:w="10395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865"/>
        <w:gridCol w:w="2145"/>
        <w:gridCol w:w="5385"/>
        <w:tblGridChange w:id="0">
          <w:tblGrid>
            <w:gridCol w:w="2865"/>
            <w:gridCol w:w="2145"/>
            <w:gridCol w:w="5385"/>
          </w:tblGrid>
        </w:tblGridChange>
      </w:tblGrid>
      <w:tr>
        <w:trPr>
          <w:cantSplit w:val="0"/>
          <w:tblHeader w:val="0"/>
        </w:trPr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0" w:right="0" w:firstLine="0"/>
              <w:jc w:val="center"/>
              <w:rPr>
                <w:shd w:fill="fff2cc" w:val="clear"/>
              </w:rPr>
            </w:pPr>
            <w:r w:rsidDel="00000000" w:rsidR="00000000" w:rsidRPr="00000000">
              <w:rPr>
                <w:rtl w:val="0"/>
              </w:rPr>
              <w:t xml:space="preserve">Nome - Sigla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0" w:right="0" w:firstLine="0"/>
              <w:jc w:val="center"/>
              <w:rPr>
                <w:shd w:fill="fff2cc" w:val="clear"/>
              </w:rPr>
            </w:pPr>
            <w:r w:rsidDel="00000000" w:rsidR="00000000" w:rsidRPr="00000000">
              <w:rPr>
                <w:rtl w:val="0"/>
              </w:rPr>
              <w:t xml:space="preserve">Fórmula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Descrição</w:t>
            </w:r>
          </w:p>
        </w:tc>
      </w:tr>
      <w:tr>
        <w:trPr>
          <w:cantSplit w:val="0"/>
          <w:trHeight w:val="429.9609375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0" w:right="0" w:firstLine="0"/>
              <w:jc w:val="center"/>
              <w:rPr>
                <w:shd w:fill="fff2cc" w:val="clear"/>
              </w:rPr>
            </w:pPr>
            <w:r w:rsidDel="00000000" w:rsidR="00000000" w:rsidRPr="00000000">
              <w:rPr>
                <w:rtl w:val="0"/>
              </w:rPr>
              <w:t xml:space="preserve">Coeficiente de compacidade (Kc)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5">
            <w:pPr>
              <w:spacing w:after="120" w:lineRule="auto"/>
              <w:jc w:val="center"/>
              <w:rPr/>
            </w:pPr>
            <m:oMath>
              <m:r>
                <w:rPr/>
                <m:t xml:space="preserve">Kc=0,28</m:t>
              </m:r>
              <m:r>
                <w:rPr/>
                <m:t>×</m:t>
              </m:r>
              <m:f>
                <m:fPr>
                  <m:ctrlPr>
                    <w:rPr/>
                  </m:ctrlPr>
                </m:fPr>
                <m:num>
                  <m:r>
                    <w:rPr/>
                    <m:t xml:space="preserve">P</m:t>
                  </m:r>
                </m:num>
                <m:den>
                  <m:rad>
                    <m:radPr>
                      <m:degHide m:val="1"/>
                      <m:ctrlPr>
                        <w:rPr/>
                      </m:ctrlPr>
                    </m:radPr>
                    <m:e>
                      <m:r>
                        <w:rPr/>
                        <m:t xml:space="preserve">A</m:t>
                      </m:r>
                    </m:e>
                  </m:rad>
                </m:den>
              </m:f>
            </m:oMath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0" w:righ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Relação do perímetro da bacia (P) com a raiz quadrada da área (A).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Fator de forma (Kf)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8">
            <w:pPr>
              <w:spacing w:after="120" w:lineRule="auto"/>
              <w:jc w:val="center"/>
              <w:rPr/>
            </w:pPr>
            <m:oMath>
              <m:r>
                <w:rPr/>
                <m:t xml:space="preserve">Kf=</m:t>
              </m:r>
              <m:f>
                <m:fPr>
                  <m:ctrlPr>
                    <w:rPr/>
                  </m:ctrlPr>
                </m:fPr>
                <m:num>
                  <m:r>
                    <w:rPr/>
                    <m:t xml:space="preserve">A</m:t>
                  </m:r>
                </m:num>
                <m:den>
                  <m:sSup>
                    <m:sSupPr>
                      <m:ctrlPr>
                        <w:rPr/>
                      </m:ctrlPr>
                    </m:sSupPr>
                    <m:e>
                      <m:r>
                        <w:rPr/>
                        <m:t xml:space="preserve">L</m:t>
                      </m:r>
                    </m:e>
                    <m:sup>
                      <m:r>
                        <w:rPr/>
                        <m:t xml:space="preserve">2</m:t>
                      </m:r>
                    </m:sup>
                  </m:sSup>
                </m:den>
              </m:f>
            </m:oMath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0" w:righ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Relação da área da bacia (A) pelo quadrado do comprimento axial (L).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Índice de circularidade (IC)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B">
            <w:pPr>
              <w:spacing w:after="120" w:lineRule="auto"/>
              <w:jc w:val="center"/>
              <w:rPr/>
            </w:pPr>
            <m:oMath>
              <m:r>
                <w:rPr/>
                <m:t xml:space="preserve">IC=</m:t>
              </m:r>
              <m:f>
                <m:fPr>
                  <m:ctrlPr>
                    <w:rPr/>
                  </m:ctrlPr>
                </m:fPr>
                <m:num>
                  <m:r>
                    <w:rPr/>
                    <m:t xml:space="preserve">12,57</m:t>
                  </m:r>
                  <m:r>
                    <w:rPr/>
                    <m:t>×</m:t>
                  </m:r>
                  <m:r>
                    <w:rPr/>
                    <m:t xml:space="preserve">A</m:t>
                  </m:r>
                </m:num>
                <m:den>
                  <m:sSup>
                    <m:sSupPr>
                      <m:ctrlPr>
                        <w:rPr/>
                      </m:ctrlPr>
                    </m:sSupPr>
                    <m:e>
                      <m:r>
                        <w:rPr/>
                        <m:t xml:space="preserve">P</m:t>
                      </m:r>
                    </m:e>
                    <m:sup>
                      <m:r>
                        <w:rPr/>
                        <m:t xml:space="preserve">2</m:t>
                      </m:r>
                    </m:sup>
                  </m:sSup>
                </m:den>
              </m:f>
            </m:oMath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0" w:righ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Combinação da área (A) e perímetro (P); multiplica-se a área por 12,57 (equivalente a 4π) e divide-se pelo perímetro ao quadrado.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Índice de sinuosidade (Is)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E">
            <w:pPr>
              <w:spacing w:after="12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Is </w:t>
            </w:r>
            <m:oMath>
              <m:r>
                <w:rPr/>
                <m:t xml:space="preserve">=</m:t>
              </m:r>
              <m:f>
                <m:fPr>
                  <m:ctrlPr>
                    <w:rPr/>
                  </m:ctrlPr>
                </m:fPr>
                <m:num>
                  <m:r>
                    <w:rPr/>
                    <m:t xml:space="preserve">Lc</m:t>
                  </m:r>
                </m:num>
                <m:den>
                  <m:r>
                    <w:rPr/>
                    <m:t xml:space="preserve">Lv</m:t>
                  </m:r>
                </m:den>
              </m:f>
            </m:oMath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0" w:righ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Divisão do comprimento real do canal (Lc) pela distância vetorial entre nascente e foz (Lv).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Densidade de drenagem (Dd)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1">
            <w:pPr>
              <w:spacing w:after="120" w:lineRule="auto"/>
              <w:jc w:val="center"/>
              <w:rPr/>
            </w:pPr>
            <m:oMath>
              <m:r>
                <w:rPr/>
                <m:t xml:space="preserve">Dd=</m:t>
              </m:r>
              <m:f>
                <m:fPr>
                  <m:ctrlPr>
                    <w:rPr/>
                  </m:ctrlPr>
                </m:fPr>
                <m:num>
                  <m:r>
                    <w:rPr/>
                    <m:t xml:space="preserve">Lt</m:t>
                  </m:r>
                </m:num>
                <m:den>
                  <m:r>
                    <w:rPr/>
                    <m:t xml:space="preserve">A</m:t>
                  </m:r>
                </m:den>
              </m:f>
            </m:oMath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0" w:righ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Relação entre o comprimento total da rede de drenagem (Lt) e a área da bacia (A).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Densidade hidrográfica (Dh)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4">
            <w:pPr>
              <w:spacing w:after="120" w:lineRule="auto"/>
              <w:jc w:val="center"/>
              <w:rPr/>
            </w:pPr>
            <m:oMath>
              <m:r>
                <w:rPr/>
                <m:t xml:space="preserve">Dh=</m:t>
              </m:r>
              <m:f>
                <m:fPr>
                  <m:ctrlPr>
                    <w:rPr/>
                  </m:ctrlPr>
                </m:fPr>
                <m:num>
                  <m:r>
                    <w:rPr/>
                    <m:t xml:space="preserve">N</m:t>
                  </m:r>
                </m:num>
                <m:den>
                  <m:r>
                    <w:rPr/>
                    <m:t xml:space="preserve">A</m:t>
                  </m:r>
                </m:den>
              </m:f>
            </m:oMath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0" w:righ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Divisão do número total de canais mapeados (N) pela área da bacia (A).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Extensão média do escoamento superficial (l)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7">
            <w:pPr>
              <w:spacing w:after="120" w:lineRule="auto"/>
              <w:jc w:val="center"/>
              <w:rPr/>
            </w:pPr>
            <m:oMath>
              <m:r>
                <w:rPr/>
                <m:t xml:space="preserve">l=</m:t>
              </m:r>
              <m:f>
                <m:fPr>
                  <m:ctrlPr>
                    <w:rPr/>
                  </m:ctrlPr>
                </m:fPr>
                <m:num>
                  <m:r>
                    <w:rPr/>
                    <m:t xml:space="preserve">A</m:t>
                  </m:r>
                </m:num>
                <m:den>
                  <m:r>
                    <w:rPr/>
                    <m:t xml:space="preserve">4</m:t>
                  </m:r>
                  <m:r>
                    <w:rPr/>
                    <m:t>×</m:t>
                  </m:r>
                  <m:r>
                    <w:rPr/>
                    <m:t xml:space="preserve">L</m:t>
                  </m:r>
                </m:den>
              </m:f>
            </m:oMath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0" w:righ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Relação da área (A) por quatro vezes o comprimento axial (L).</w:t>
            </w:r>
          </w:p>
        </w:tc>
      </w:tr>
      <w:tr>
        <w:trPr>
          <w:cantSplit w:val="0"/>
          <w:trHeight w:val="334.98046875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Amplitude altimétrica (Hm)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A">
            <w:pPr>
              <w:spacing w:after="120" w:lineRule="auto"/>
              <w:jc w:val="center"/>
              <w:rPr/>
            </w:pPr>
            <m:oMath>
              <m:r>
                <w:rPr/>
                <m:t xml:space="preserve">Hm = Hmax-Hmin</m:t>
              </m:r>
            </m:oMath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0" w:righ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Subtração da altitude mínima (Hmin) da máxima (Hmax).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Relação de relevo (Rr)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D">
            <w:pPr>
              <w:spacing w:after="120" w:lineRule="auto"/>
              <w:jc w:val="center"/>
              <w:rPr/>
            </w:pPr>
            <m:oMath>
              <m:r>
                <w:rPr/>
                <m:t xml:space="preserve">Rc=</m:t>
              </m:r>
              <m:f>
                <m:fPr>
                  <m:ctrlPr>
                    <w:rPr/>
                  </m:ctrlPr>
                </m:fPr>
                <m:num>
                  <m:r>
                    <w:rPr/>
                    <m:t xml:space="preserve">Hm</m:t>
                  </m:r>
                </m:num>
                <m:den>
                  <m:r>
                    <w:rPr/>
                    <m:t xml:space="preserve">Lc</m:t>
                  </m:r>
                </m:den>
              </m:f>
            </m:oMath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0" w:righ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Relação da amplitude altimétrica (Hm) pelo comprimento do canal principal (Lc).</w:t>
            </w:r>
          </w:p>
        </w:tc>
      </w:tr>
      <w:tr>
        <w:trPr>
          <w:cantSplit w:val="0"/>
          <w:trHeight w:val="399.9609375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Gradiente de canais (Gc)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0">
            <w:pPr>
              <w:spacing w:after="120" w:lineRule="auto"/>
              <w:jc w:val="center"/>
              <w:rPr/>
            </w:pPr>
            <m:oMath>
              <m:r>
                <w:rPr/>
                <m:t xml:space="preserve">Gc=</m:t>
              </m:r>
              <m:f>
                <m:fPr>
                  <m:ctrlPr>
                    <w:rPr/>
                  </m:ctrlPr>
                </m:fPr>
                <m:num>
                  <m:r>
                    <w:rPr/>
                    <m:t xml:space="preserve">Amax</m:t>
                  </m:r>
                </m:num>
                <m:den>
                  <m:r>
                    <w:rPr/>
                    <m:t xml:space="preserve">Lc</m:t>
                  </m:r>
                </m:den>
              </m:f>
            </m:oMath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0" w:righ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Relação  da altitude máxima (Hmax) pelo comprimento do canal principal (Lc).</w:t>
            </w:r>
          </w:p>
        </w:tc>
      </w:tr>
    </w:tbl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RESULTADOS</w:t>
      </w:r>
    </w:p>
    <w:p w:rsidR="00000000" w:rsidDel="00000000" w:rsidP="00000000" w:rsidRDefault="00000000" w:rsidRPr="00000000" w14:paraId="00000034">
      <w:pPr>
        <w:spacing w:after="120" w:lineRule="auto"/>
        <w:ind w:firstLine="562"/>
        <w:jc w:val="both"/>
        <w:rPr>
          <w:b w:val="1"/>
          <w:bCs w:val="1"/>
          <w:smallCaps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De acordo com os resultados apresentados na Tabela 2, é destacado que a bacia do Riacho Sítio dos Pintos apresenta coeficiente de compacidade (Kc = 1,97), fator de forma (Kf = 0,44) e índice de circularidade (IC = 0,25), que caracterizam uma geometria alongada, associada à menor sincronização dos escoamentos superficiais (Tucci, 2015; He et al., 2024). O índice de sinuosidade (Is = 2,20) indica um canal principal altamente sinuoso, influenciando o tempo de propagação das vazões (Silva e Silva, 2024). A densidade de drenagem elevada (Dd = 49,50 km/km²) indica uma rede de canais densamente distribuída, característica de áreas urbanizadas e altamente impermeabilizadas, favorecendo a rápida geração de escoamento superficial. No entanto, esse índice não reflete necessariamente a eficiência do sistema de drenagem urbana, que pode apresentar limitações estruturais e operacionais, contribuindo para a ocorrência de alagamentos (Tucci, 2015; Moreira et al., 2025).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after="120" w:lineRule="auto"/>
        <w:jc w:val="center"/>
        <w:rPr>
          <w:highlight w:val="white"/>
        </w:rPr>
      </w:pPr>
      <w:r w:rsidDel="00000000" w:rsidR="00000000" w:rsidRPr="00000000">
        <w:rPr>
          <w:rtl w:val="0"/>
        </w:rPr>
        <w:t xml:space="preserve">Figura 1 </w:t>
      </w:r>
      <w:r w:rsidDel="00000000" w:rsidR="00000000" w:rsidRPr="00000000">
        <w:rPr>
          <w:highlight w:val="white"/>
          <w:rtl w:val="0"/>
        </w:rPr>
        <w:t xml:space="preserve">– Bacia hidrográfica do riacho Sítio dos Pintos.</w:t>
      </w:r>
    </w:p>
    <w:p w:rsidR="00000000" w:rsidDel="00000000" w:rsidP="00000000" w:rsidRDefault="00000000" w:rsidRPr="00000000" w14:paraId="00000036">
      <w:pPr>
        <w:keepNext w:val="1"/>
        <w:keepLines w:val="1"/>
        <w:spacing w:after="120" w:lineRule="auto"/>
        <w:jc w:val="center"/>
        <w:rPr>
          <w:highlight w:val="white"/>
        </w:rPr>
      </w:pPr>
      <w:r w:rsidDel="00000000" w:rsidR="00000000" w:rsidRPr="00000000">
        <w:rPr>
          <w:highlight w:val="white"/>
        </w:rPr>
        <w:drawing>
          <wp:inline distB="114300" distT="114300" distL="114300" distR="114300">
            <wp:extent cx="5039678" cy="3564216"/>
            <wp:effectExtent b="0" l="0" r="0" t="0"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039678" cy="356421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keepNext w:val="1"/>
        <w:keepLines w:val="1"/>
        <w:spacing w:after="120" w:lineRule="auto"/>
        <w:jc w:val="center"/>
        <w:rPr>
          <w:shd w:fill="fff2cc" w:val="clear"/>
        </w:rPr>
      </w:pPr>
      <w:r w:rsidDel="00000000" w:rsidR="00000000" w:rsidRPr="00000000">
        <w:rPr>
          <w:highlight w:val="white"/>
          <w:rtl w:val="0"/>
        </w:rPr>
        <w:t xml:space="preserve">Tabela 2 –  Resultados dos índices fisiográficos calculados com base nas variáveis.</w:t>
      </w:r>
      <w:r w:rsidDel="00000000" w:rsidR="00000000" w:rsidRPr="00000000">
        <w:rPr>
          <w:rtl w:val="0"/>
        </w:rPr>
      </w:r>
    </w:p>
    <w:tbl>
      <w:tblPr>
        <w:tblStyle w:val="Table2"/>
        <w:tblW w:w="9255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3465"/>
        <w:gridCol w:w="1335"/>
        <w:gridCol w:w="2730"/>
        <w:gridCol w:w="1725"/>
        <w:tblGridChange w:id="0">
          <w:tblGrid>
            <w:gridCol w:w="3465"/>
            <w:gridCol w:w="1335"/>
            <w:gridCol w:w="2730"/>
            <w:gridCol w:w="1725"/>
          </w:tblGrid>
        </w:tblGridChange>
      </w:tblGrid>
      <w:tr>
        <w:trPr>
          <w:cantSplit w:val="0"/>
          <w:trHeight w:val="364.98046875" w:hRule="atLeast"/>
          <w:tblHeader w:val="0"/>
        </w:trPr>
        <w:tc>
          <w:tcPr>
            <w:gridSpan w:val="2"/>
            <w:shd w:fill="cccccc" w:val="clear"/>
            <w:vAlign w:val="center"/>
          </w:tcPr>
          <w:p w:rsidR="00000000" w:rsidDel="00000000" w:rsidP="00000000" w:rsidRDefault="00000000" w:rsidRPr="00000000" w14:paraId="0000003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Variáveis</w:t>
            </w:r>
          </w:p>
        </w:tc>
        <w:tc>
          <w:tcPr>
            <w:gridSpan w:val="2"/>
            <w:shd w:fill="cccccc" w:val="clear"/>
            <w:vAlign w:val="center"/>
          </w:tcPr>
          <w:p w:rsidR="00000000" w:rsidDel="00000000" w:rsidP="00000000" w:rsidRDefault="00000000" w:rsidRPr="00000000" w14:paraId="0000003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índices fisiográficos</w:t>
            </w:r>
          </w:p>
        </w:tc>
      </w:tr>
      <w:tr>
        <w:trPr>
          <w:cantSplit w:val="0"/>
          <w:trHeight w:val="364.98046875" w:hRule="atLeast"/>
          <w:tblHeader w:val="0"/>
        </w:trPr>
        <w:tc>
          <w:tcPr>
            <w:shd w:fill="cccccc" w:val="clear"/>
            <w:vAlign w:val="center"/>
          </w:tcPr>
          <w:p w:rsidR="00000000" w:rsidDel="00000000" w:rsidP="00000000" w:rsidRDefault="00000000" w:rsidRPr="00000000" w14:paraId="0000003C">
            <w:pPr>
              <w:spacing w:after="12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Nome</w:t>
            </w:r>
          </w:p>
        </w:tc>
        <w:tc>
          <w:tcPr>
            <w:shd w:fill="cccccc" w:val="clear"/>
            <w:vAlign w:val="center"/>
          </w:tcPr>
          <w:p w:rsidR="00000000" w:rsidDel="00000000" w:rsidP="00000000" w:rsidRDefault="00000000" w:rsidRPr="00000000" w14:paraId="0000003D">
            <w:pPr>
              <w:spacing w:after="12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Valor</w:t>
            </w:r>
          </w:p>
        </w:tc>
        <w:tc>
          <w:tcPr>
            <w:shd w:fill="cccccc" w:val="clear"/>
            <w:vAlign w:val="center"/>
          </w:tcPr>
          <w:p w:rsidR="00000000" w:rsidDel="00000000" w:rsidP="00000000" w:rsidRDefault="00000000" w:rsidRPr="00000000" w14:paraId="0000003E">
            <w:pPr>
              <w:spacing w:after="12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Nome</w:t>
            </w:r>
          </w:p>
        </w:tc>
        <w:tc>
          <w:tcPr>
            <w:shd w:fill="cccccc" w:val="clear"/>
            <w:vAlign w:val="center"/>
          </w:tcPr>
          <w:p w:rsidR="00000000" w:rsidDel="00000000" w:rsidP="00000000" w:rsidRDefault="00000000" w:rsidRPr="00000000" w14:paraId="0000003F">
            <w:pPr>
              <w:spacing w:after="12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Valor</w:t>
            </w:r>
          </w:p>
        </w:tc>
      </w:tr>
      <w:tr>
        <w:trPr>
          <w:cantSplit w:val="0"/>
          <w:trHeight w:val="289.98046875" w:hRule="atLeast"/>
          <w:tblHeader w:val="0"/>
        </w:trPr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Área da bacia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1,04 (km</w:t>
            </w:r>
            <w:r w:rsidDel="00000000" w:rsidR="00000000" w:rsidRPr="00000000">
              <w:rPr>
                <w:vertAlign w:val="superscript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  <w:t xml:space="preserve">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2">
            <w:pPr>
              <w:spacing w:after="12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Coef. de compacidade (Kc)</w:t>
            </w:r>
          </w:p>
        </w:tc>
        <w:tc>
          <w:tcPr/>
          <w:p w:rsidR="00000000" w:rsidDel="00000000" w:rsidP="00000000" w:rsidRDefault="00000000" w:rsidRPr="00000000" w14:paraId="00000043">
            <w:pPr>
              <w:spacing w:after="12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1,97</w:t>
            </w:r>
          </w:p>
        </w:tc>
      </w:tr>
      <w:tr>
        <w:trPr>
          <w:cantSplit w:val="0"/>
          <w:trHeight w:val="334.98046875" w:hRule="atLeast"/>
          <w:tblHeader w:val="0"/>
        </w:trPr>
        <w:tc>
          <w:tcPr>
            <w:tcBorders>
              <w:top w:color="cccccc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</w:tcPr>
          <w:p w:rsidR="00000000" w:rsidDel="00000000" w:rsidP="00000000" w:rsidRDefault="00000000" w:rsidRPr="00000000" w14:paraId="0000004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Perímetro da bacia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</w:tcPr>
          <w:p w:rsidR="00000000" w:rsidDel="00000000" w:rsidP="00000000" w:rsidRDefault="00000000" w:rsidRPr="00000000" w14:paraId="0000004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7,17 (km)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spacing w:after="12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Fator de forma (Kf)</w:t>
            </w:r>
          </w:p>
        </w:tc>
        <w:tc>
          <w:tcPr/>
          <w:p w:rsidR="00000000" w:rsidDel="00000000" w:rsidP="00000000" w:rsidRDefault="00000000" w:rsidRPr="00000000" w14:paraId="00000047">
            <w:pPr>
              <w:spacing w:after="12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0,44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ccccc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</w:tcPr>
          <w:p w:rsidR="00000000" w:rsidDel="00000000" w:rsidP="00000000" w:rsidRDefault="00000000" w:rsidRPr="00000000" w14:paraId="0000004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Compr. axial da bacia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</w:tcPr>
          <w:p w:rsidR="00000000" w:rsidDel="00000000" w:rsidP="00000000" w:rsidRDefault="00000000" w:rsidRPr="00000000" w14:paraId="0000004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1,53 (km)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A">
            <w:pPr>
              <w:spacing w:after="12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Índice de circularidade (IC)</w:t>
            </w:r>
          </w:p>
        </w:tc>
        <w:tc>
          <w:tcPr/>
          <w:p w:rsidR="00000000" w:rsidDel="00000000" w:rsidP="00000000" w:rsidRDefault="00000000" w:rsidRPr="00000000" w14:paraId="0000004B">
            <w:pPr>
              <w:spacing w:after="12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0,25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ccccc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</w:tcPr>
          <w:p w:rsidR="00000000" w:rsidDel="00000000" w:rsidP="00000000" w:rsidRDefault="00000000" w:rsidRPr="00000000" w14:paraId="0000004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Compr. do talvegue principal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</w:tcPr>
          <w:p w:rsidR="00000000" w:rsidDel="00000000" w:rsidP="00000000" w:rsidRDefault="00000000" w:rsidRPr="00000000" w14:paraId="0000004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2,87 (km)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spacing w:after="12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Índice de sinuosidade (Is)</w:t>
            </w:r>
          </w:p>
        </w:tc>
        <w:tc>
          <w:tcPr/>
          <w:p w:rsidR="00000000" w:rsidDel="00000000" w:rsidP="00000000" w:rsidRDefault="00000000" w:rsidRPr="00000000" w14:paraId="0000004F">
            <w:pPr>
              <w:spacing w:after="12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2,20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ccccc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</w:tcPr>
          <w:p w:rsidR="00000000" w:rsidDel="00000000" w:rsidP="00000000" w:rsidRDefault="00000000" w:rsidRPr="00000000" w14:paraId="0000005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Compr. vetorial do talvegue principal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</w:tcPr>
          <w:p w:rsidR="00000000" w:rsidDel="00000000" w:rsidP="00000000" w:rsidRDefault="00000000" w:rsidRPr="00000000" w14:paraId="0000005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1,31 (km)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spacing w:after="12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Densidade de drenagem (Dd)</w:t>
            </w:r>
          </w:p>
        </w:tc>
        <w:tc>
          <w:tcPr/>
          <w:p w:rsidR="00000000" w:rsidDel="00000000" w:rsidP="00000000" w:rsidRDefault="00000000" w:rsidRPr="00000000" w14:paraId="00000053">
            <w:pPr>
              <w:spacing w:after="12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49,50</w:t>
            </w:r>
          </w:p>
        </w:tc>
      </w:tr>
      <w:tr>
        <w:trPr>
          <w:cantSplit w:val="0"/>
          <w:trHeight w:val="379.98046875" w:hRule="atLeast"/>
          <w:tblHeader w:val="0"/>
        </w:trPr>
        <w:tc>
          <w:tcPr>
            <w:tcBorders>
              <w:top w:color="cccccc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</w:tcPr>
          <w:p w:rsidR="00000000" w:rsidDel="00000000" w:rsidP="00000000" w:rsidRDefault="00000000" w:rsidRPr="00000000" w14:paraId="0000005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Declividade média do talvegue principal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</w:tcPr>
          <w:p w:rsidR="00000000" w:rsidDel="00000000" w:rsidP="00000000" w:rsidRDefault="00000000" w:rsidRPr="00000000" w14:paraId="0000005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0,01 (m/m)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spacing w:after="12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Densidade hidrográfica (Dh)</w:t>
            </w:r>
          </w:p>
        </w:tc>
        <w:tc>
          <w:tcPr/>
          <w:p w:rsidR="00000000" w:rsidDel="00000000" w:rsidP="00000000" w:rsidRDefault="00000000" w:rsidRPr="00000000" w14:paraId="00000057">
            <w:pPr>
              <w:spacing w:after="12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3633,56</w:t>
            </w:r>
          </w:p>
        </w:tc>
      </w:tr>
      <w:tr>
        <w:trPr>
          <w:cantSplit w:val="0"/>
          <w:trHeight w:val="319.98046875" w:hRule="atLeast"/>
          <w:tblHeader w:val="0"/>
        </w:trPr>
        <w:tc>
          <w:tcPr>
            <w:tcBorders>
              <w:top w:color="cccccc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</w:tcPr>
          <w:p w:rsidR="00000000" w:rsidDel="00000000" w:rsidP="00000000" w:rsidRDefault="00000000" w:rsidRPr="00000000" w14:paraId="0000005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Compr. total dos talvegues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51,27 (km)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spacing w:after="12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Extensão média do esc. sup. (I)</w:t>
            </w:r>
          </w:p>
        </w:tc>
        <w:tc>
          <w:tcPr/>
          <w:p w:rsidR="00000000" w:rsidDel="00000000" w:rsidP="00000000" w:rsidRDefault="00000000" w:rsidRPr="00000000" w14:paraId="0000005B">
            <w:pPr>
              <w:spacing w:after="12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0,09 (km)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ccccc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</w:tcPr>
          <w:p w:rsidR="00000000" w:rsidDel="00000000" w:rsidP="00000000" w:rsidRDefault="00000000" w:rsidRPr="00000000" w14:paraId="0000005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Número total de canais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</w:tcPr>
          <w:p w:rsidR="00000000" w:rsidDel="00000000" w:rsidP="00000000" w:rsidRDefault="00000000" w:rsidRPr="00000000" w14:paraId="0000005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3764,00 (un)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E">
            <w:pPr>
              <w:spacing w:after="12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Amplitude altimétrica (Hm)</w:t>
            </w:r>
          </w:p>
        </w:tc>
        <w:tc>
          <w:tcPr/>
          <w:p w:rsidR="00000000" w:rsidDel="00000000" w:rsidP="00000000" w:rsidRDefault="00000000" w:rsidRPr="00000000" w14:paraId="0000005F">
            <w:pPr>
              <w:spacing w:after="12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29,65 (m)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ccccc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</w:tcPr>
          <w:p w:rsidR="00000000" w:rsidDel="00000000" w:rsidP="00000000" w:rsidRDefault="00000000" w:rsidRPr="00000000" w14:paraId="0000006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Hmax (Talvegue principal)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</w:tcPr>
          <w:p w:rsidR="00000000" w:rsidDel="00000000" w:rsidP="00000000" w:rsidRDefault="00000000" w:rsidRPr="00000000" w14:paraId="0000006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31,92 (m)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spacing w:after="12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Relação de relevo (Rr)</w:t>
            </w:r>
          </w:p>
        </w:tc>
        <w:tc>
          <w:tcPr/>
          <w:p w:rsidR="00000000" w:rsidDel="00000000" w:rsidP="00000000" w:rsidRDefault="00000000" w:rsidRPr="00000000" w14:paraId="00000063">
            <w:pPr>
              <w:spacing w:after="12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10,32 (m/km)</w:t>
            </w:r>
          </w:p>
        </w:tc>
      </w:tr>
      <w:tr>
        <w:trPr>
          <w:cantSplit w:val="0"/>
          <w:trHeight w:val="349.98046875" w:hRule="atLeast"/>
          <w:tblHeader w:val="0"/>
        </w:trPr>
        <w:tc>
          <w:tcPr>
            <w:tcBorders>
              <w:top w:color="cccccc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Hmin (Talvegue principal)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2,27 (m)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6">
            <w:pPr>
              <w:spacing w:after="12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Gradiente de canais (Gc)</w:t>
            </w:r>
          </w:p>
        </w:tc>
        <w:tc>
          <w:tcPr/>
          <w:p w:rsidR="00000000" w:rsidDel="00000000" w:rsidP="00000000" w:rsidRDefault="00000000" w:rsidRPr="00000000" w14:paraId="00000067">
            <w:pPr>
              <w:spacing w:after="12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11,11 (m/km)</w:t>
            </w:r>
          </w:p>
        </w:tc>
      </w:tr>
    </w:tbl>
    <w:p w:rsidR="00000000" w:rsidDel="00000000" w:rsidP="00000000" w:rsidRDefault="00000000" w:rsidRPr="00000000" w14:paraId="0000006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0" w:right="0" w:firstLine="0"/>
        <w:jc w:val="both"/>
        <w:rPr>
          <w:sz w:val="24"/>
          <w:szCs w:val="24"/>
          <w:shd w:fill="fff2cc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0" w:right="0" w:firstLine="562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</w:t>
      </w:r>
      <w:r w:rsidDel="00000000" w:rsidR="00000000" w:rsidRPr="00000000">
        <w:rPr>
          <w:sz w:val="24"/>
          <w:szCs w:val="24"/>
          <w:rtl w:val="0"/>
        </w:rPr>
        <w:t xml:space="preserve">densidade hidrográfica muito elevada (Dh = 3.633,56 canais/km²)</w:t>
      </w:r>
      <w:r w:rsidDel="00000000" w:rsidR="00000000" w:rsidRPr="00000000">
        <w:rPr>
          <w:sz w:val="24"/>
          <w:szCs w:val="24"/>
          <w:rtl w:val="0"/>
        </w:rPr>
        <w:t xml:space="preserve"> pode ser explicada pelo alto nível de detalhamento do mapeamento, realizado a partir de MDT LiDAR com resolução espacial de 5 m e escala 1:5.000, que permite a identificação de canais de primeira ordem e feições artificiais de drenagem. A literatura destaca que esse índice é altamente sensível à escala cartográfica e ao método de extração da rede, sendo comum a obtenção de valores elevados em estudos com dados de alta resolução, especialmente em ambientes urbanos (Silva, 2016).</w:t>
      </w:r>
    </w:p>
    <w:p w:rsidR="00000000" w:rsidDel="00000000" w:rsidP="00000000" w:rsidRDefault="00000000" w:rsidRPr="00000000" w14:paraId="0000006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CONCLUSÕES</w:t>
      </w:r>
    </w:p>
    <w:p w:rsidR="00000000" w:rsidDel="00000000" w:rsidP="00000000" w:rsidRDefault="00000000" w:rsidRPr="00000000" w14:paraId="0000006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0" w:right="0" w:firstLine="562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caracterização fisiográfica da bacia do Riacho Sítio dos Pintos evidenciou uma bacia de pequena dimensão, geometria alongada e elevada densidade de canais, associadas a um contexto urbano fortemente impermeabilizado. Os índices morfométricos obtidos indicam resposta hidrológica rápida, com potencial para intensificação do escoamento superficial durante eventos chuvosos, o que contribui para a ocorrência de alagamentos. Os resultados reforçam a importância da análise fisiográfica como subsídio ao planejamento urbano e à gestão de recursos hídricos, especialmente em bacias urbanas, servindo como base para futuras ações de mitigação de riscos hidrológicos na área de estudo.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0" w:right="0" w:firstLine="562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keepNext w:val="1"/>
        <w:spacing w:after="120" w:lineRule="auto"/>
        <w:rPr>
          <w:b w:val="1"/>
          <w:bCs w:val="1"/>
          <w:smallCaps w:val="1"/>
          <w:sz w:val="24"/>
          <w:szCs w:val="24"/>
        </w:rPr>
      </w:pPr>
      <w:r w:rsidDel="00000000" w:rsidR="00000000" w:rsidRPr="00000000">
        <w:rPr>
          <w:b w:val="1"/>
          <w:bCs w:val="1"/>
          <w:smallCaps w:val="1"/>
          <w:sz w:val="24"/>
          <w:szCs w:val="24"/>
          <w:rtl w:val="0"/>
        </w:rPr>
        <w:t xml:space="preserve">AGRADECIMENTOS </w:t>
      </w:r>
    </w:p>
    <w:p w:rsidR="00000000" w:rsidDel="00000000" w:rsidP="00000000" w:rsidRDefault="00000000" w:rsidRPr="00000000" w14:paraId="0000006F">
      <w:pPr>
        <w:spacing w:after="120" w:lineRule="auto"/>
        <w:ind w:firstLine="567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Os autores agradecem à UFRPE e aos professores envolvidos.</w:t>
      </w:r>
    </w:p>
    <w:p w:rsidR="00000000" w:rsidDel="00000000" w:rsidP="00000000" w:rsidRDefault="00000000" w:rsidRPr="00000000" w14:paraId="0000007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REFERÊNCIAS</w:t>
      </w:r>
    </w:p>
    <w:p w:rsidR="00000000" w:rsidDel="00000000" w:rsidP="00000000" w:rsidRDefault="00000000" w:rsidRPr="00000000" w14:paraId="0000007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="240" w:lineRule="auto"/>
        <w:ind w:left="0" w:right="0" w:firstLine="0"/>
        <w:jc w:val="both"/>
        <w:rPr>
          <w:color w:val="222222"/>
          <w:sz w:val="24"/>
          <w:szCs w:val="24"/>
          <w:highlight w:val="white"/>
        </w:rPr>
      </w:pPr>
      <w:r w:rsidDel="00000000" w:rsidR="00000000" w:rsidRPr="00000000">
        <w:rPr>
          <w:color w:val="222222"/>
          <w:sz w:val="24"/>
          <w:szCs w:val="24"/>
          <w:highlight w:val="white"/>
          <w:rtl w:val="0"/>
        </w:rPr>
        <w:t xml:space="preserve">CARVALHO FILHO, J. A. A.; PAIVA A. L. R.; NASCIMENTO, R. F.; CABRAL, J. J. S. P. Efeito da urbanização e do revestimento da zona hiporreica na qualidade da água de riachos urbanos: Estudo de caso no município do Recife - PE. </w:t>
      </w:r>
      <w:r w:rsidDel="00000000" w:rsidR="00000000" w:rsidRPr="00000000">
        <w:rPr>
          <w:color w:val="222222"/>
          <w:sz w:val="24"/>
          <w:szCs w:val="24"/>
          <w:highlight w:val="white"/>
          <w:rtl w:val="0"/>
        </w:rPr>
        <w:t xml:space="preserve">Geoconexões</w:t>
      </w:r>
      <w:r w:rsidDel="00000000" w:rsidR="00000000" w:rsidRPr="00000000">
        <w:rPr>
          <w:color w:val="222222"/>
          <w:sz w:val="24"/>
          <w:szCs w:val="24"/>
          <w:highlight w:val="white"/>
          <w:rtl w:val="0"/>
        </w:rPr>
        <w:t xml:space="preserve">, v. 2, n. 19, p. 455-481, 2024.</w:t>
        <w:br w:type="textWrapping"/>
      </w:r>
      <w:r w:rsidDel="00000000" w:rsidR="00000000" w:rsidRPr="00000000">
        <w:rPr>
          <w:sz w:val="24"/>
          <w:szCs w:val="24"/>
          <w:shd w:fill="fff2cc" w:val="clear"/>
          <w:rtl w:val="0"/>
        </w:rPr>
        <w:br w:type="textWrapping"/>
      </w:r>
      <w:r w:rsidDel="00000000" w:rsidR="00000000" w:rsidRPr="00000000">
        <w:rPr>
          <w:color w:val="222222"/>
          <w:sz w:val="24"/>
          <w:szCs w:val="24"/>
          <w:highlight w:val="white"/>
          <w:rtl w:val="0"/>
        </w:rPr>
        <w:t xml:space="preserve">DORNELAS, C. S. M. Análise temporal do uso e ocupação do solo da bacia hidrográfica do rio Soledade-PB. Revista JRG de Estudos Acadêmicos, v. 8, n. 19, p. e082214-e082214, 2025.</w:t>
      </w:r>
    </w:p>
    <w:p w:rsidR="00000000" w:rsidDel="00000000" w:rsidP="00000000" w:rsidRDefault="00000000" w:rsidRPr="00000000" w14:paraId="0000007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="240" w:lineRule="auto"/>
        <w:ind w:left="0" w:right="0" w:firstLine="0"/>
        <w:jc w:val="both"/>
        <w:rPr>
          <w:color w:val="222222"/>
          <w:sz w:val="28"/>
          <w:szCs w:val="28"/>
          <w:highlight w:val="white"/>
        </w:rPr>
      </w:pPr>
      <w:r w:rsidDel="00000000" w:rsidR="00000000" w:rsidRPr="00000000">
        <w:rPr>
          <w:color w:val="222222"/>
          <w:sz w:val="24"/>
          <w:szCs w:val="24"/>
          <w:rtl w:val="0"/>
        </w:rPr>
        <w:t xml:space="preserve">DOS ANJOS</w:t>
      </w:r>
      <w:r w:rsidDel="00000000" w:rsidR="00000000" w:rsidRPr="00000000">
        <w:rPr>
          <w:color w:val="222222"/>
          <w:sz w:val="24"/>
          <w:szCs w:val="24"/>
          <w:highlight w:val="white"/>
          <w:rtl w:val="0"/>
        </w:rPr>
        <w:t xml:space="preserve">, L. S. et al. Resgate histórico dos eventos extremos de precipitação e seus impactos no município do Recife-PE. Revista Brasileira de Climatologia, v. 34, p. 335-359, 2024.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="240" w:lineRule="auto"/>
        <w:ind w:left="0" w:right="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HE, Chuanqi et al. A global dataset of the shape of drainage systems. Earth System Science Data, v. 16, n. 2, p. 1151-1166, 2024.</w:t>
      </w:r>
    </w:p>
    <w:p w:rsidR="00000000" w:rsidDel="00000000" w:rsidP="00000000" w:rsidRDefault="00000000" w:rsidRPr="00000000" w14:paraId="0000007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="240" w:lineRule="auto"/>
        <w:ind w:left="0" w:right="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MOREIRA, Giselle Lemos et al. Análise morfométrica da bacia hidrográfica do rio Alegre, ES, Brasil. 2017.</w:t>
      </w:r>
    </w:p>
    <w:p w:rsidR="00000000" w:rsidDel="00000000" w:rsidP="00000000" w:rsidRDefault="00000000" w:rsidRPr="00000000" w14:paraId="0000007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="240" w:lineRule="auto"/>
        <w:ind w:left="0" w:right="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SILVA, D. C. C. et al. Uso de indicadores morfométricos como ferramentas para avaliação de bacias hidrográficas. Revista Brasileira de Geografia Física, v. 9, n. 2, p. 221-217, 2016.</w:t>
      </w:r>
    </w:p>
    <w:p w:rsidR="00000000" w:rsidDel="00000000" w:rsidP="00000000" w:rsidRDefault="00000000" w:rsidRPr="00000000" w14:paraId="0000007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="240" w:lineRule="auto"/>
        <w:ind w:left="0" w:right="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TUCCI, C. E. M. Hidrologia: Ciência e Aplicação. 4. ed. Porto Alegre: Editora da UFRGS/ABRH, 2015.</w:t>
      </w:r>
    </w:p>
    <w:p w:rsidR="00000000" w:rsidDel="00000000" w:rsidP="00000000" w:rsidRDefault="00000000" w:rsidRPr="00000000" w14:paraId="0000007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8" w:type="default"/>
      <w:headerReference r:id="rId9" w:type="first"/>
      <w:headerReference r:id="rId10" w:type="even"/>
      <w:footerReference r:id="rId11" w:type="default"/>
      <w:footerReference r:id="rId12" w:type="first"/>
      <w:footerReference r:id="rId13" w:type="even"/>
      <w:pgSz w:h="16840" w:w="11907" w:orient="portrait"/>
      <w:pgMar w:bottom="1418" w:top="1418" w:left="1701" w:right="1701" w:header="227" w:footer="794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Times New Roman"/>
  <w:font w:name="Helvetica Neue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8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8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36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8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88">
    <w:pPr>
      <w:keepNext w:val="0"/>
      <w:keepLines w:val="0"/>
      <w:pageBreakBefore w:val="0"/>
      <w:widowControl w:val="1"/>
      <w:pBdr>
        <w:top w:color="000000" w:space="1" w:sz="4" w:val="single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1"/>
        <w:iCs w:val="1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1"/>
        <w:iCs w:val="1"/>
        <w:smallCaps w:val="0"/>
        <w:strike w:val="0"/>
        <w:color w:val="000000"/>
        <w:sz w:val="18"/>
        <w:szCs w:val="18"/>
        <w:u w:val="none"/>
        <w:shd w:fill="auto" w:val="clear"/>
        <w:vertAlign w:val="baseline"/>
        <w:rtl w:val="0"/>
      </w:rPr>
      <w:t xml:space="preserve">I Congresso Pernambucano de Recursos Hídricos – Água para o Desenvolvimento</w:t>
    </w: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8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otnote w:id="0">
    <w:p w:rsidR="00000000" w:rsidDel="00000000" w:rsidP="00000000" w:rsidRDefault="00000000" w:rsidRPr="00000000" w14:paraId="0000008A">
      <w:pPr>
        <w:rPr>
          <w:sz w:val="16"/>
          <w:szCs w:val="16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sz w:val="16"/>
          <w:szCs w:val="16"/>
          <w:rtl w:val="0"/>
        </w:rPr>
        <w:t xml:space="preserve">) Afiliação: UFRPE, Rua Manoel de Medeiros s/n, Dois irmãos, Recife-PE, (81) 99803-5428, lucas.motafs@gmail.com</w:t>
      </w:r>
    </w:p>
  </w:footnote>
  <w:footnote w:id="1">
    <w:p w:rsidR="00000000" w:rsidDel="00000000" w:rsidP="00000000" w:rsidRDefault="00000000" w:rsidRPr="00000000" w14:paraId="0000008B">
      <w:pPr>
        <w:rPr>
          <w:sz w:val="16"/>
          <w:szCs w:val="16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sz w:val="16"/>
          <w:szCs w:val="16"/>
          <w:rtl w:val="0"/>
        </w:rPr>
        <w:t xml:space="preserve">) Afiliação: UFRPE, Rua Manoel de Medeiros s/n, Dois irmãos, Recife-PE, (81)98500-8886, </w:t>
      </w:r>
      <w:hyperlink r:id="rId1">
        <w:r w:rsidDel="00000000" w:rsidR="00000000" w:rsidRPr="00000000">
          <w:rPr>
            <w:sz w:val="16"/>
            <w:szCs w:val="16"/>
            <w:rtl w:val="0"/>
          </w:rPr>
          <w:t xml:space="preserve">lara.franca.ufrpe@gmail.com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rPr>
          <w:sz w:val="16"/>
          <w:szCs w:val="16"/>
        </w:rPr>
      </w:pPr>
      <w:r w:rsidDel="00000000" w:rsidR="00000000" w:rsidRPr="00000000">
        <w:rPr>
          <w:sz w:val="16"/>
          <w:szCs w:val="16"/>
          <w:vertAlign w:val="superscript"/>
          <w:rtl w:val="0"/>
        </w:rPr>
        <w:t xml:space="preserve">3</w:t>
      </w:r>
      <w:r w:rsidDel="00000000" w:rsidR="00000000" w:rsidRPr="00000000">
        <w:rPr>
          <w:sz w:val="16"/>
          <w:szCs w:val="16"/>
          <w:rtl w:val="0"/>
        </w:rPr>
        <w:t xml:space="preserve">) Afiliação: UFRPE, Rua Manoel de Medeiros s/n, Dois irmãos, Recife-PE, (87) 9967</w:t>
      </w:r>
      <w:r w:rsidDel="00000000" w:rsidR="00000000" w:rsidRPr="00000000">
        <w:rPr>
          <w:sz w:val="16"/>
          <w:szCs w:val="16"/>
          <w:rtl w:val="0"/>
        </w:rPr>
        <w:t xml:space="preserve">0-9666, </w:t>
      </w:r>
      <w:hyperlink r:id="rId2">
        <w:r w:rsidDel="00000000" w:rsidR="00000000" w:rsidRPr="00000000">
          <w:rPr>
            <w:sz w:val="16"/>
            <w:szCs w:val="16"/>
            <w:rtl w:val="0"/>
          </w:rPr>
          <w:t xml:space="preserve">flavio.luaf@gmail.com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rPr>
          <w:sz w:val="16"/>
          <w:szCs w:val="16"/>
        </w:rPr>
      </w:pPr>
      <w:r w:rsidDel="00000000" w:rsidR="00000000" w:rsidRPr="00000000">
        <w:rPr>
          <w:sz w:val="16"/>
          <w:szCs w:val="16"/>
          <w:vertAlign w:val="superscript"/>
          <w:rtl w:val="0"/>
        </w:rPr>
        <w:t xml:space="preserve">4</w:t>
      </w:r>
      <w:r w:rsidDel="00000000" w:rsidR="00000000" w:rsidRPr="00000000">
        <w:rPr>
          <w:sz w:val="16"/>
          <w:szCs w:val="16"/>
          <w:rtl w:val="0"/>
        </w:rPr>
        <w:t xml:space="preserve">) Afiliação: UFRPE, Rua Manoel de Medeiros s/n, Dois irmãos, Recife-PE, (81) 99176-8724,</w:t>
      </w:r>
      <w:hyperlink r:id="rId3">
        <w:r w:rsidDel="00000000" w:rsidR="00000000" w:rsidRPr="00000000">
          <w:rPr>
            <w:sz w:val="16"/>
            <w:szCs w:val="16"/>
            <w:rtl w:val="0"/>
          </w:rPr>
          <w:t xml:space="preserve">vicenteufrpe@yahoo.com.br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rPr>
          <w:sz w:val="16"/>
          <w:szCs w:val="16"/>
        </w:rPr>
      </w:pPr>
      <w:r w:rsidDel="00000000" w:rsidR="00000000" w:rsidRPr="00000000">
        <w:rPr>
          <w:sz w:val="16"/>
          <w:szCs w:val="16"/>
          <w:vertAlign w:val="superscript"/>
          <w:rtl w:val="0"/>
        </w:rPr>
        <w:t xml:space="preserve">5</w:t>
      </w:r>
      <w:r w:rsidDel="00000000" w:rsidR="00000000" w:rsidRPr="00000000">
        <w:rPr>
          <w:sz w:val="16"/>
          <w:szCs w:val="16"/>
          <w:rtl w:val="0"/>
        </w:rPr>
        <w:t xml:space="preserve">) Afiliação:UFRPE, Rua Manoel de Medeiros s/n, Dois irmãos, Recife-PE, (83) 9922-7458 , </w:t>
      </w:r>
      <w:hyperlink r:id="rId4">
        <w:r w:rsidDel="00000000" w:rsidR="00000000" w:rsidRPr="00000000">
          <w:rPr>
            <w:sz w:val="16"/>
            <w:szCs w:val="16"/>
            <w:rtl w:val="0"/>
          </w:rPr>
          <w:t xml:space="preserve">thiago.cabralnepomuceno@ufrpe.br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rPr>
          <w:sz w:val="16"/>
          <w:szCs w:val="16"/>
        </w:rPr>
      </w:pPr>
      <w:r w:rsidDel="00000000" w:rsidR="00000000" w:rsidRPr="00000000">
        <w:rPr>
          <w:sz w:val="16"/>
          <w:szCs w:val="16"/>
          <w:vertAlign w:val="superscript"/>
          <w:rtl w:val="0"/>
        </w:rPr>
        <w:t xml:space="preserve">6</w:t>
      </w:r>
      <w:r w:rsidDel="00000000" w:rsidR="00000000" w:rsidRPr="00000000">
        <w:rPr>
          <w:sz w:val="16"/>
          <w:szCs w:val="16"/>
          <w:rtl w:val="0"/>
        </w:rPr>
        <w:t xml:space="preserve">) Afiliação: UFRPE,  Rua Manoel de Medeiros s/n, Dois irmãos, Recife-PE, (81) 99442-4366, julio.andrade@ufrpe.br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rPr>
          <w:sz w:val="16"/>
          <w:szCs w:val="16"/>
        </w:rPr>
      </w:pPr>
      <w:r w:rsidDel="00000000" w:rsidR="00000000" w:rsidRPr="00000000">
        <w:rPr>
          <w:rtl w:val="0"/>
        </w:rPr>
      </w:r>
    </w:p>
  </w:footnote>
</w:footnote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3"/>
      <w:tblW w:w="8505.0" w:type="dxa"/>
      <w:jc w:val="left"/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  <w:tblLayout w:type="fixed"/>
      <w:tblLook w:val="0400"/>
    </w:tblPr>
    <w:tblGrid>
      <w:gridCol w:w="3006"/>
      <w:gridCol w:w="5499"/>
      <w:tblGridChange w:id="0">
        <w:tblGrid>
          <w:gridCol w:w="3006"/>
          <w:gridCol w:w="5499"/>
        </w:tblGrid>
      </w:tblGridChange>
    </w:tblGrid>
    <w:tr>
      <w:trPr>
        <w:cantSplit w:val="0"/>
        <w:tblHeader w:val="0"/>
      </w:trPr>
      <w:tc>
        <w:tcPr>
          <w:tcBorders>
            <w:top w:color="000000" w:space="0" w:sz="0" w:val="nil"/>
            <w:left w:color="000000" w:space="0" w:sz="0" w:val="nil"/>
            <w:bottom w:color="000000" w:space="0" w:sz="0" w:val="nil"/>
            <w:right w:color="000000" w:space="0" w:sz="0" w:val="nil"/>
          </w:tcBorders>
        </w:tcPr>
        <w:p w:rsidR="00000000" w:rsidDel="00000000" w:rsidP="00000000" w:rsidRDefault="00000000" w:rsidRPr="00000000" w14:paraId="0000007C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0" w:before="0" w:line="240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  <w:drawing>
              <wp:inline distB="0" distT="0" distL="0" distR="0">
                <wp:extent cx="1789713" cy="1308672"/>
                <wp:effectExtent b="0" l="0" r="0" t="0"/>
                <wp:docPr descr="Logotipo, nome da empresa&#10;&#10;O conteúdo gerado por IA pode estar incorreto." id="1" name="image1.jpg"/>
                <a:graphic>
                  <a:graphicData uri="http://schemas.openxmlformats.org/drawingml/2006/picture">
                    <pic:pic>
                      <pic:nvPicPr>
                        <pic:cNvPr descr="Logotipo, nome da empresa&#10;&#10;O conteúdo gerado por IA pode estar incorreto." id="0" name="image1.jpg"/>
                        <pic:cNvPicPr preferRelativeResize="0"/>
                      </pic:nvPicPr>
                      <pic:blipFill>
                        <a:blip r:embed="rId1"/>
                        <a:srcRect b="33491" l="23846" r="19982" t="489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89713" cy="1308672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000000" w:space="0" w:sz="0" w:val="nil"/>
            <w:left w:color="000000" w:space="0" w:sz="0" w:val="nil"/>
            <w:bottom w:color="000000" w:space="0" w:sz="0" w:val="nil"/>
            <w:right w:color="000000" w:space="0" w:sz="0" w:val="nil"/>
          </w:tcBorders>
        </w:tcPr>
        <w:p w:rsidR="00000000" w:rsidDel="00000000" w:rsidP="00000000" w:rsidRDefault="00000000" w:rsidRPr="00000000" w14:paraId="0000007D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0" w:before="0" w:line="240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7E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32"/>
              <w:szCs w:val="3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32"/>
              <w:szCs w:val="32"/>
              <w:u w:val="none"/>
              <w:shd w:fill="auto" w:val="clear"/>
              <w:vertAlign w:val="baseline"/>
              <w:rtl w:val="0"/>
            </w:rPr>
            <w:t xml:space="preserve">I CONGRESSO PERNAMBUCANO</w:t>
          </w:r>
        </w:p>
        <w:p w:rsidR="00000000" w:rsidDel="00000000" w:rsidP="00000000" w:rsidRDefault="00000000" w:rsidRPr="00000000" w14:paraId="0000007F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32"/>
              <w:szCs w:val="3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32"/>
              <w:szCs w:val="32"/>
              <w:u w:val="none"/>
              <w:shd w:fill="auto" w:val="clear"/>
              <w:vertAlign w:val="baseline"/>
              <w:rtl w:val="0"/>
            </w:rPr>
            <w:t xml:space="preserve">DE RECURSOS HÍDRICOS</w:t>
          </w:r>
        </w:p>
        <w:p w:rsidR="00000000" w:rsidDel="00000000" w:rsidP="00000000" w:rsidRDefault="00000000" w:rsidRPr="00000000" w14:paraId="00000080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0" w:before="0" w:line="240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81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Água para o Desenvolvimento</w:t>
          </w:r>
        </w:p>
        <w:p w:rsidR="00000000" w:rsidDel="00000000" w:rsidP="00000000" w:rsidRDefault="00000000" w:rsidRPr="00000000" w14:paraId="00000082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Recife, 24, 25 e 26 de Março de 2026</w:t>
          </w:r>
        </w:p>
        <w:p w:rsidR="00000000" w:rsidDel="00000000" w:rsidP="00000000" w:rsidRDefault="00000000" w:rsidRPr="00000000" w14:paraId="00000083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0" w:before="0" w:line="240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8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tabs>
        <w:tab w:val="left" w:leader="none" w:pos="0"/>
        <w:tab w:val="right" w:leader="none" w:pos="9388"/>
      </w:tabs>
      <w:spacing w:after="120" w:before="480" w:lineRule="auto"/>
      <w:ind w:left="567" w:hanging="567"/>
    </w:pPr>
    <w:rPr>
      <w:rFonts w:ascii="Arial" w:cs="Arial" w:eastAsia="Arial" w:hAnsi="Arial"/>
      <w:b w:val="1"/>
      <w:bCs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jc w:val="center"/>
    </w:pPr>
    <w:rPr>
      <w:b w:val="1"/>
      <w:bCs w:val="1"/>
      <w:sz w:val="52"/>
      <w:szCs w:val="52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</w:pPr>
    <w:rPr>
      <w:rFonts w:ascii="Arial" w:cs="Arial" w:eastAsia="Arial" w:hAnsi="Arial"/>
      <w:sz w:val="16"/>
      <w:szCs w:val="16"/>
      <w:u w:val="single"/>
    </w:rPr>
  </w:style>
  <w:style w:type="paragraph" w:styleId="Heading5">
    <w:name w:val="heading 5"/>
    <w:basedOn w:val="Normal"/>
    <w:next w:val="Normal"/>
    <w:pPr>
      <w:keepNext w:val="1"/>
      <w:jc w:val="center"/>
    </w:pPr>
    <w:rPr>
      <w:rFonts w:ascii="Arial" w:cs="Arial" w:eastAsia="Arial" w:hAnsi="Arial"/>
      <w:b w:val="1"/>
      <w:bCs w:val="1"/>
      <w:sz w:val="24"/>
      <w:szCs w:val="24"/>
    </w:rPr>
  </w:style>
  <w:style w:type="paragraph" w:styleId="Heading6">
    <w:name w:val="heading 6"/>
    <w:basedOn w:val="Normal"/>
    <w:next w:val="Normal"/>
    <w:pPr>
      <w:keepNext w:val="1"/>
      <w:jc w:val="center"/>
    </w:pPr>
    <w:rPr>
      <w:rFonts w:ascii="Arial" w:cs="Arial" w:eastAsia="Arial" w:hAnsi="Arial"/>
      <w:sz w:val="32"/>
      <w:szCs w:val="32"/>
    </w:rPr>
  </w:style>
  <w:style w:type="paragraph" w:styleId="Title">
    <w:name w:val="Title"/>
    <w:basedOn w:val="Normal"/>
    <w:next w:val="Normal"/>
    <w:pPr>
      <w:spacing w:after="360" w:lineRule="auto"/>
      <w:jc w:val="right"/>
    </w:pPr>
    <w:rPr>
      <w:rFonts w:ascii="Helvetica Neue" w:cs="Helvetica Neue" w:eastAsia="Helvetica Neue" w:hAnsi="Helvetica Neue"/>
      <w:b w:val="1"/>
      <w:bCs w:val="1"/>
      <w:sz w:val="36"/>
      <w:szCs w:val="36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footer" Target="footer2.xml"/><Relationship Id="rId10" Type="http://schemas.openxmlformats.org/officeDocument/2006/relationships/header" Target="header1.xml"/><Relationship Id="rId13" Type="http://schemas.openxmlformats.org/officeDocument/2006/relationships/footer" Target="footer1.xml"/><Relationship Id="rId12" Type="http://schemas.openxmlformats.org/officeDocument/2006/relationships/footer" Target="footer3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image" Target="media/image2.png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HelveticaNeue-regular.ttf"/><Relationship Id="rId2" Type="http://schemas.openxmlformats.org/officeDocument/2006/relationships/font" Target="fonts/HelveticaNeue-bold.ttf"/><Relationship Id="rId3" Type="http://schemas.openxmlformats.org/officeDocument/2006/relationships/font" Target="fonts/HelveticaNeue-italic.ttf"/><Relationship Id="rId4" Type="http://schemas.openxmlformats.org/officeDocument/2006/relationships/font" Target="fonts/HelveticaNeue-boldItalic.ttf"/></Relationships>
</file>

<file path=word/_rels/footnotes.xml.rels><?xml version="1.0" encoding="UTF-8" standalone="yes"?><Relationships xmlns="http://schemas.openxmlformats.org/package/2006/relationships"><Relationship Id="rId1" Type="http://schemas.openxmlformats.org/officeDocument/2006/relationships/hyperlink" Target="mailto:lara.franca.ufrpe@gmail.com" TargetMode="External"/><Relationship Id="rId2" Type="http://schemas.openxmlformats.org/officeDocument/2006/relationships/hyperlink" Target="mailto:flavio.luaf@gmail.com" TargetMode="External"/><Relationship Id="rId3" Type="http://schemas.openxmlformats.org/officeDocument/2006/relationships/hyperlink" Target="mailto:vicenteufrpe@yahoo.com.br" TargetMode="External"/><Relationship Id="rId4" Type="http://schemas.openxmlformats.org/officeDocument/2006/relationships/hyperlink" Target="mailto:thiago.cabralnepomuceno@ufrpe.br" TargetMode="External"/></Relationships>
</file>

<file path=word/_rels/header3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