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93E47" w14:textId="77777777" w:rsidR="008F45F3" w:rsidRPr="00256FEC" w:rsidRDefault="00A22CA9" w:rsidP="00EA330E">
      <w:pPr>
        <w:spacing w:after="0" w:line="276" w:lineRule="auto"/>
        <w:jc w:val="center"/>
        <w:rPr>
          <w:rFonts w:ascii="Times New Roman" w:eastAsia="Arial" w:hAnsi="Times New Roman" w:cs="Times New Roman"/>
          <w:sz w:val="22"/>
        </w:rPr>
      </w:pPr>
      <w:r w:rsidRPr="0064241F">
        <w:rPr>
          <w:rFonts w:ascii="Times New Roman" w:hAnsi="Times New Roman" w:cs="Times New Roman"/>
          <w:noProof/>
        </w:rPr>
        <w:object w:dxaOrig="8159" w:dyaOrig="2131" w14:anchorId="7869AAF1">
          <v:rect id="rectole0000000000" o:spid="_x0000_i1025" alt="" style="width:408pt;height:106.5pt;mso-width-percent:0;mso-height-percent:0;mso-width-percent:0;mso-height-percent:0" o:ole="" o:preferrelative="t" stroked="f">
            <v:imagedata r:id="rId4" o:title=""/>
          </v:rect>
          <o:OLEObject Type="Embed" ProgID="StaticMetafile" ShapeID="rectole0000000000" DrawAspect="Content" ObjectID="_1836205679" r:id="rId5"/>
        </w:object>
      </w:r>
    </w:p>
    <w:p w14:paraId="54960475" w14:textId="77777777" w:rsidR="00B7571B" w:rsidRPr="00B7571B" w:rsidRDefault="00B7571B" w:rsidP="00EA330E">
      <w:pPr>
        <w:spacing w:after="0" w:line="276" w:lineRule="auto"/>
        <w:rPr>
          <w:rFonts w:ascii="Times New Roman" w:eastAsia="Arial" w:hAnsi="Times New Roman" w:cs="Times New Roman"/>
          <w:b/>
          <w:bCs/>
        </w:rPr>
      </w:pPr>
    </w:p>
    <w:p w14:paraId="59520B20" w14:textId="77777777" w:rsidR="00256FEC" w:rsidRPr="00256FEC" w:rsidRDefault="00256FEC">
      <w:pPr>
        <w:spacing w:after="0" w:line="276" w:lineRule="auto"/>
        <w:rPr>
          <w:rFonts w:ascii="Times New Roman" w:eastAsia="Arial" w:hAnsi="Times New Roman" w:cs="Times New Roman"/>
          <w:sz w:val="22"/>
        </w:rPr>
      </w:pPr>
    </w:p>
    <w:p w14:paraId="7293599D" w14:textId="7E3D751D" w:rsidR="008F45F3" w:rsidRDefault="00EA330E" w:rsidP="00EA330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  <w:r w:rsidRPr="00256FEC">
        <w:rPr>
          <w:rFonts w:ascii="Times New Roman" w:eastAsia="Times New Roman" w:hAnsi="Times New Roman" w:cs="Times New Roman"/>
          <w:b/>
        </w:rPr>
        <w:t>CARTAS ANÔNIMAS: VOZES DE MULHERES SOB A PERSPECTIVA FOUCAULTIANA</w:t>
      </w:r>
      <w:r w:rsidR="00256FEC" w:rsidRPr="00256FEC">
        <w:rPr>
          <w:rFonts w:ascii="Times New Roman" w:eastAsia="Times New Roman" w:hAnsi="Times New Roman" w:cs="Times New Roman"/>
          <w:b/>
        </w:rPr>
        <w:t xml:space="preserve"> - PODER, SUBJETIVAÇÃO E RESISTÊNCIA NA EXPERIÊNCIA DE SER MULHER</w:t>
      </w:r>
    </w:p>
    <w:p w14:paraId="76A66560" w14:textId="77777777" w:rsidR="00256FEC" w:rsidRPr="00256FEC" w:rsidRDefault="00256FEC" w:rsidP="00256F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17D326C6" w14:textId="568D9640" w:rsidR="00B7571B" w:rsidRPr="00256FEC" w:rsidRDefault="00EA330E" w:rsidP="00B7571B">
      <w:pPr>
        <w:spacing w:after="0" w:line="276" w:lineRule="auto"/>
        <w:jc w:val="right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</w:rPr>
        <w:t xml:space="preserve"> Maria Paula Pereira de Carvalho</w:t>
      </w:r>
    </w:p>
    <w:p w14:paraId="7772BE7C" w14:textId="22CE11CC" w:rsidR="008F45F3" w:rsidRPr="00256FEC" w:rsidRDefault="00EA330E" w:rsidP="00256FEC">
      <w:pPr>
        <w:spacing w:after="0" w:line="276" w:lineRule="auto"/>
        <w:jc w:val="right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</w:rPr>
        <w:t>Maria Deborah Cabral de Sousa</w:t>
      </w:r>
    </w:p>
    <w:p w14:paraId="08028DD7" w14:textId="77777777" w:rsidR="008F45F3" w:rsidRPr="00256FEC" w:rsidRDefault="00EA330E" w:rsidP="00256F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</w:rPr>
        <w:t xml:space="preserve"> </w:t>
      </w:r>
    </w:p>
    <w:p w14:paraId="38401054" w14:textId="5D338869" w:rsidR="00256FEC" w:rsidRPr="00256FEC" w:rsidRDefault="00EA330E">
      <w:pPr>
        <w:keepNext/>
        <w:keepLines/>
        <w:spacing w:before="200" w:after="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256FEC">
        <w:rPr>
          <w:rFonts w:ascii="Times New Roman" w:eastAsia="Times New Roman" w:hAnsi="Times New Roman" w:cs="Times New Roman"/>
          <w:b/>
        </w:rPr>
        <w:t>INTRODUÇÃO</w:t>
      </w:r>
    </w:p>
    <w:p w14:paraId="1C7536E6" w14:textId="2F3EFC2F" w:rsidR="008F45F3" w:rsidRPr="00256FEC" w:rsidRDefault="00EA330E" w:rsidP="00256FE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</w:rPr>
        <w:t>Este relato de pesquisa apresenta uma síntese analítica do Trabalho de Conclusão de Curso intitulado Cartas Anônimas: Vozes de Mulheres sob a Perspectiva Foucaultiana, cujo foco recai sobre a experiência de ser mulher. O corpus é composto por 3</w:t>
      </w:r>
      <w:r w:rsidRPr="00256FEC">
        <w:rPr>
          <w:rFonts w:ascii="Times New Roman" w:eastAsia="Times New Roman" w:hAnsi="Times New Roman" w:cs="Times New Roman"/>
        </w:rPr>
        <w:t>6 cartas manuscritas, coletadas em 2024, no âmbito de uma ação do Núcleo Interdisciplinar de Pesquisa e Ação sobre Mulher e Relações de Sexo e Gênero (NIPAM/UFPB), em celebração ao mês da mulher</w:t>
      </w:r>
      <w:r w:rsidR="00AF430E">
        <w:rPr>
          <w:rFonts w:ascii="Times New Roman" w:eastAsia="Times New Roman" w:hAnsi="Times New Roman" w:cs="Times New Roman"/>
        </w:rPr>
        <w:t>.</w:t>
      </w:r>
    </w:p>
    <w:p w14:paraId="57C7E700" w14:textId="77777777" w:rsidR="008F45F3" w:rsidRPr="00256FEC" w:rsidRDefault="00EA330E" w:rsidP="00256FE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</w:rPr>
        <w:t>As cartas foram produzidas por voluntárias anônimas e por al</w:t>
      </w:r>
      <w:r w:rsidRPr="00256FEC">
        <w:rPr>
          <w:rFonts w:ascii="Times New Roman" w:eastAsia="Times New Roman" w:hAnsi="Times New Roman" w:cs="Times New Roman"/>
        </w:rPr>
        <w:t>unas da Educação de Jovens e Adultos (EJA), respondendo à pergunta norteadora: “o que é ser mulher?”. As narrativas revelam vivências de violência íntima e escolar, maternidade precoce, abandono escolar e desigualdades, mas também processos de subjetivação</w:t>
      </w:r>
      <w:r w:rsidRPr="00256FEC">
        <w:rPr>
          <w:rFonts w:ascii="Times New Roman" w:eastAsia="Times New Roman" w:hAnsi="Times New Roman" w:cs="Times New Roman"/>
        </w:rPr>
        <w:t>, resistência, retorno aos estudos e busca por autonomia.</w:t>
      </w:r>
    </w:p>
    <w:p w14:paraId="2AF5D5D9" w14:textId="3595369F" w:rsidR="008F45F3" w:rsidRDefault="00EA330E" w:rsidP="00256FE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</w:rPr>
        <w:t xml:space="preserve">A análise se baseia em conceitos foucaultianos articulando com polifonia de </w:t>
      </w:r>
      <w:proofErr w:type="spellStart"/>
      <w:r w:rsidR="00256FEC">
        <w:rPr>
          <w:rFonts w:ascii="Times New Roman" w:eastAsia="Times New Roman" w:hAnsi="Times New Roman" w:cs="Times New Roman"/>
        </w:rPr>
        <w:t>B</w:t>
      </w:r>
      <w:r w:rsidRPr="00256FEC">
        <w:rPr>
          <w:rFonts w:ascii="Times New Roman" w:eastAsia="Times New Roman" w:hAnsi="Times New Roman" w:cs="Times New Roman"/>
        </w:rPr>
        <w:t>akithin</w:t>
      </w:r>
      <w:proofErr w:type="spellEnd"/>
      <w:r w:rsidRPr="00256FEC">
        <w:rPr>
          <w:rFonts w:ascii="Times New Roman" w:eastAsia="Times New Roman" w:hAnsi="Times New Roman" w:cs="Times New Roman"/>
        </w:rPr>
        <w:t xml:space="preserve"> e a </w:t>
      </w:r>
      <w:r w:rsidR="00256FEC" w:rsidRPr="00256FEC">
        <w:rPr>
          <w:rFonts w:ascii="Times New Roman" w:eastAsia="Times New Roman" w:hAnsi="Times New Roman" w:cs="Times New Roman"/>
        </w:rPr>
        <w:t>Pedagogia</w:t>
      </w:r>
      <w:r w:rsidRPr="00256FEC">
        <w:rPr>
          <w:rFonts w:ascii="Times New Roman" w:eastAsia="Times New Roman" w:hAnsi="Times New Roman" w:cs="Times New Roman"/>
        </w:rPr>
        <w:t xml:space="preserve"> do Saber de Paulo Freire, para explicar como dispositivos de sexualidade, docilização dos corpos, </w:t>
      </w:r>
      <w:proofErr w:type="spellStart"/>
      <w:r w:rsidRPr="00256FEC">
        <w:rPr>
          <w:rFonts w:ascii="Times New Roman" w:eastAsia="Times New Roman" w:hAnsi="Times New Roman" w:cs="Times New Roman"/>
        </w:rPr>
        <w:t>p</w:t>
      </w:r>
      <w:r w:rsidRPr="00256FEC">
        <w:rPr>
          <w:rFonts w:ascii="Times New Roman" w:eastAsia="Times New Roman" w:hAnsi="Times New Roman" w:cs="Times New Roman"/>
        </w:rPr>
        <w:t>anoptismo</w:t>
      </w:r>
      <w:proofErr w:type="spellEnd"/>
      <w:r w:rsidRPr="00256FEC">
        <w:rPr>
          <w:rFonts w:ascii="Times New Roman" w:eastAsia="Times New Roman" w:hAnsi="Times New Roman" w:cs="Times New Roman"/>
        </w:rPr>
        <w:t xml:space="preserve"> e biopoder recaem sobre a vida das mulheres que relataram suas narrativas femininas emergidas como práticas de escrita de si e como gestos ético-políticos de resistência.</w:t>
      </w:r>
    </w:p>
    <w:p w14:paraId="6E0D65E8" w14:textId="3E06BA25" w:rsidR="00DF7B07" w:rsidRPr="00DF7B07" w:rsidRDefault="00DF7B07" w:rsidP="00DF7B0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lang w:val="pt-PT"/>
        </w:rPr>
      </w:pPr>
      <w:r w:rsidRPr="00DF7B07">
        <w:rPr>
          <w:rFonts w:ascii="Times New Roman" w:eastAsia="Times New Roman" w:hAnsi="Times New Roman" w:cs="Times New Roman"/>
          <w:lang w:val="pt-PT"/>
        </w:rPr>
        <w:t xml:space="preserve">Ainda que Foucault seja o eixo teórico central, outros pensadores ajudam a ampliar o olhar sobre a escrita e sua potência individual e coletiva. A noção de polifonia em Bakhtin (2008) permite compreender essas narrativas como um espaço de múltiplas vozes que coexistem sem se dissolver numa unidade, revelando tensões e </w:t>
      </w:r>
      <w:r w:rsidRPr="00DF7B07">
        <w:rPr>
          <w:rFonts w:ascii="Times New Roman" w:eastAsia="Times New Roman" w:hAnsi="Times New Roman" w:cs="Times New Roman"/>
          <w:lang w:val="pt-PT"/>
        </w:rPr>
        <w:lastRenderedPageBreak/>
        <w:t>singularidades. Gauthier (1981) reforça o caráter político da escrita como prática de conscientização através de Paulo Freire, em que narrar-se é também intervir no mundo. E, a partir da literatura negra, Conceição Evaristo introduz a noção de escrevivência, vinculada, por exemplo, à Carta 34, que denuncia a exclusão e afirma a memória coletiva das mulheres negras, conectando-se à dimensão social e política do material analisado</w:t>
      </w:r>
      <w:r>
        <w:rPr>
          <w:rFonts w:ascii="Times New Roman" w:eastAsia="Times New Roman" w:hAnsi="Times New Roman" w:cs="Times New Roman"/>
          <w:lang w:val="pt-PT"/>
        </w:rPr>
        <w:t>.</w:t>
      </w:r>
    </w:p>
    <w:p w14:paraId="3419C06C" w14:textId="6D290BE4" w:rsidR="008F45F3" w:rsidRPr="00256FEC" w:rsidRDefault="00DF7B07" w:rsidP="00256FE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objetivo da pesquisa foi </w:t>
      </w:r>
      <w:r w:rsidRPr="00DF7B07">
        <w:rPr>
          <w:rFonts w:ascii="Times New Roman" w:eastAsia="Times New Roman" w:hAnsi="Times New Roman" w:cs="Times New Roman"/>
          <w:lang w:val="pt-PT"/>
        </w:rPr>
        <w:t>compreender como as cartas anônimas revelam práticas discursivas de gênero, mecanismos de poder e formas de subjetivação e resistência, sob a ótica foucaultiana</w:t>
      </w:r>
      <w:r>
        <w:rPr>
          <w:rFonts w:ascii="Times New Roman" w:eastAsia="Times New Roman" w:hAnsi="Times New Roman" w:cs="Times New Roman"/>
          <w:lang w:val="pt-PT"/>
        </w:rPr>
        <w:t>.</w:t>
      </w:r>
      <w:r w:rsidRPr="00DF7B07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Para tanto foi necessário</w:t>
      </w:r>
      <w:r w:rsidRPr="00256FEC">
        <w:rPr>
          <w:rFonts w:ascii="Times New Roman" w:eastAsia="Times New Roman" w:hAnsi="Times New Roman" w:cs="Times New Roman"/>
        </w:rPr>
        <w:t xml:space="preserve"> </w:t>
      </w:r>
      <w:r w:rsidRPr="00DF7B07">
        <w:rPr>
          <w:rFonts w:ascii="Times New Roman" w:eastAsia="Times New Roman" w:hAnsi="Times New Roman" w:cs="Times New Roman"/>
          <w:lang w:val="pt-PT"/>
        </w:rPr>
        <w:t>mapear temas recorrentes (violência, maternidade, abandono escolar, desigualdade, identidade, autonomia) e seus efeitos de sentido</w:t>
      </w:r>
      <w:r>
        <w:rPr>
          <w:rFonts w:ascii="Times New Roman" w:eastAsia="Times New Roman" w:hAnsi="Times New Roman" w:cs="Times New Roman"/>
          <w:lang w:val="pt-PT"/>
        </w:rPr>
        <w:t>;</w:t>
      </w:r>
      <w:r>
        <w:rPr>
          <w:rFonts w:ascii="Times New Roman" w:eastAsia="Times New Roman" w:hAnsi="Times New Roman" w:cs="Times New Roman"/>
        </w:rPr>
        <w:t xml:space="preserve"> </w:t>
      </w:r>
      <w:r w:rsidRPr="00256FEC">
        <w:rPr>
          <w:rFonts w:ascii="Times New Roman" w:eastAsia="Times New Roman" w:hAnsi="Times New Roman" w:cs="Times New Roman"/>
        </w:rPr>
        <w:t xml:space="preserve">relacionar as experiências narradas com as noções foucaultianas de dispositivo da sexualidade, docilização e </w:t>
      </w:r>
      <w:proofErr w:type="spellStart"/>
      <w:r w:rsidRPr="00256FEC">
        <w:rPr>
          <w:rFonts w:ascii="Times New Roman" w:eastAsia="Times New Roman" w:hAnsi="Times New Roman" w:cs="Times New Roman"/>
        </w:rPr>
        <w:t>panoptismo</w:t>
      </w:r>
      <w:proofErr w:type="spellEnd"/>
      <w:r w:rsidRPr="00256FEC">
        <w:rPr>
          <w:rFonts w:ascii="Times New Roman" w:eastAsia="Times New Roman" w:hAnsi="Times New Roman" w:cs="Times New Roman"/>
        </w:rPr>
        <w:t>;</w:t>
      </w:r>
      <w:r>
        <w:rPr>
          <w:rFonts w:ascii="Times New Roman" w:eastAsia="Times New Roman" w:hAnsi="Times New Roman" w:cs="Times New Roman"/>
        </w:rPr>
        <w:t xml:space="preserve"> e</w:t>
      </w:r>
      <w:r w:rsidRPr="00256FEC">
        <w:rPr>
          <w:rFonts w:ascii="Times New Roman" w:eastAsia="Times New Roman" w:hAnsi="Times New Roman" w:cs="Times New Roman"/>
        </w:rPr>
        <w:t xml:space="preserve"> discutir a escrita das cartas como tecnologia de subjetivação (escrita de si) e prática de resistência</w:t>
      </w:r>
      <w:r>
        <w:rPr>
          <w:rFonts w:ascii="Times New Roman" w:eastAsia="Times New Roman" w:hAnsi="Times New Roman" w:cs="Times New Roman"/>
        </w:rPr>
        <w:t xml:space="preserve">, conforme Foucault </w:t>
      </w:r>
      <w:r w:rsidRPr="00256FEC">
        <w:rPr>
          <w:rFonts w:ascii="Times New Roman" w:eastAsia="Times New Roman" w:hAnsi="Times New Roman" w:cs="Times New Roman"/>
        </w:rPr>
        <w:t xml:space="preserve">(1992, p. 150) “Escrever </w:t>
      </w:r>
      <w:r w:rsidR="00256FEC" w:rsidRPr="00256FEC">
        <w:rPr>
          <w:rFonts w:ascii="Times New Roman" w:eastAsia="Times New Roman" w:hAnsi="Times New Roman" w:cs="Times New Roman"/>
        </w:rPr>
        <w:t>é, pois,</w:t>
      </w:r>
      <w:r w:rsidRPr="00256FEC">
        <w:rPr>
          <w:rFonts w:ascii="Times New Roman" w:eastAsia="Times New Roman" w:hAnsi="Times New Roman" w:cs="Times New Roman"/>
        </w:rPr>
        <w:t xml:space="preserve"> ‘mostrar-se’, dar-se a ver”</w:t>
      </w:r>
      <w:r>
        <w:rPr>
          <w:rFonts w:ascii="Times New Roman" w:eastAsia="Times New Roman" w:hAnsi="Times New Roman" w:cs="Times New Roman"/>
        </w:rPr>
        <w:t>.</w:t>
      </w:r>
    </w:p>
    <w:p w14:paraId="5AF7B9DD" w14:textId="25B1D295" w:rsidR="008F45F3" w:rsidRPr="00256FEC" w:rsidRDefault="00EA330E" w:rsidP="00256FE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</w:rPr>
        <w:t xml:space="preserve">A justificativa da pesquisa se ancora na urgência de compreender como as mulheres, especialmente em contextos populares </w:t>
      </w:r>
      <w:r w:rsidR="00DF7B07">
        <w:rPr>
          <w:rFonts w:ascii="Times New Roman" w:eastAsia="Times New Roman" w:hAnsi="Times New Roman" w:cs="Times New Roman"/>
        </w:rPr>
        <w:t xml:space="preserve">e da </w:t>
      </w:r>
      <w:r w:rsidRPr="00256FEC">
        <w:rPr>
          <w:rFonts w:ascii="Times New Roman" w:eastAsia="Times New Roman" w:hAnsi="Times New Roman" w:cs="Times New Roman"/>
        </w:rPr>
        <w:t>EJA, reelaboram suas trajetórias diante de mecanismos histó</w:t>
      </w:r>
      <w:r w:rsidRPr="00256FEC">
        <w:rPr>
          <w:rFonts w:ascii="Times New Roman" w:eastAsia="Times New Roman" w:hAnsi="Times New Roman" w:cs="Times New Roman"/>
        </w:rPr>
        <w:t xml:space="preserve">ricos de silenciamento e controle. O trabalho </w:t>
      </w:r>
      <w:r w:rsidR="00256FEC">
        <w:rPr>
          <w:rFonts w:ascii="Times New Roman" w:eastAsia="Times New Roman" w:hAnsi="Times New Roman" w:cs="Times New Roman"/>
        </w:rPr>
        <w:t>buscou</w:t>
      </w:r>
      <w:r w:rsidRPr="00256FEC">
        <w:rPr>
          <w:rFonts w:ascii="Times New Roman" w:eastAsia="Times New Roman" w:hAnsi="Times New Roman" w:cs="Times New Roman"/>
        </w:rPr>
        <w:t xml:space="preserve"> dar visibilidade a essas vozes como produção de conhecimento e instrumento transformador.</w:t>
      </w:r>
    </w:p>
    <w:p w14:paraId="13850624" w14:textId="77777777" w:rsidR="00256FEC" w:rsidRDefault="00256FEC" w:rsidP="00256FEC">
      <w:pPr>
        <w:keepNext/>
        <w:keepLines/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242B7BFD" w14:textId="66425F2E" w:rsidR="008F45F3" w:rsidRPr="00256FEC" w:rsidRDefault="00EA330E" w:rsidP="00256FEC">
      <w:pPr>
        <w:keepNext/>
        <w:keepLines/>
        <w:spacing w:after="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256FEC">
        <w:rPr>
          <w:rFonts w:ascii="Times New Roman" w:eastAsia="Times New Roman" w:hAnsi="Times New Roman" w:cs="Times New Roman"/>
          <w:b/>
        </w:rPr>
        <w:t>METODOLOGIA</w:t>
      </w:r>
    </w:p>
    <w:p w14:paraId="334067D0" w14:textId="77777777" w:rsidR="008F45F3" w:rsidRPr="00256FEC" w:rsidRDefault="008F45F3" w:rsidP="00256FEC">
      <w:pPr>
        <w:keepNext/>
        <w:keepLines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</w:rPr>
      </w:pPr>
    </w:p>
    <w:p w14:paraId="5B084B83" w14:textId="6FF45ED1" w:rsidR="008F0168" w:rsidRDefault="00EA330E" w:rsidP="008F016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lang w:val="pt-PT"/>
        </w:rPr>
      </w:pPr>
      <w:r w:rsidRPr="00256FEC">
        <w:rPr>
          <w:rFonts w:ascii="Times New Roman" w:eastAsia="Times New Roman" w:hAnsi="Times New Roman" w:cs="Times New Roman"/>
        </w:rPr>
        <w:t xml:space="preserve">A pesquisa </w:t>
      </w:r>
      <w:r w:rsidR="00DF7B07">
        <w:rPr>
          <w:rFonts w:ascii="Times New Roman" w:eastAsia="Times New Roman" w:hAnsi="Times New Roman" w:cs="Times New Roman"/>
        </w:rPr>
        <w:t xml:space="preserve">é </w:t>
      </w:r>
      <w:r w:rsidRPr="00256FEC">
        <w:rPr>
          <w:rFonts w:ascii="Times New Roman" w:eastAsia="Times New Roman" w:hAnsi="Times New Roman" w:cs="Times New Roman"/>
        </w:rPr>
        <w:t>de natureza qualitativa e documental, inspirada pelos referenciais foucaultianos de an</w:t>
      </w:r>
      <w:r w:rsidRPr="00256FEC">
        <w:rPr>
          <w:rFonts w:ascii="Times New Roman" w:eastAsia="Times New Roman" w:hAnsi="Times New Roman" w:cs="Times New Roman"/>
        </w:rPr>
        <w:t>álise. As 36 cartas foram produzidas voluntariamente e em caráter anônimo durante o evento “</w:t>
      </w:r>
      <w:proofErr w:type="gramStart"/>
      <w:r w:rsidRPr="00256FEC">
        <w:rPr>
          <w:rFonts w:ascii="Times New Roman" w:eastAsia="Times New Roman" w:hAnsi="Times New Roman" w:cs="Times New Roman"/>
        </w:rPr>
        <w:t>Março</w:t>
      </w:r>
      <w:proofErr w:type="gramEnd"/>
      <w:r w:rsidRPr="00256FEC">
        <w:rPr>
          <w:rFonts w:ascii="Times New Roman" w:eastAsia="Times New Roman" w:hAnsi="Times New Roman" w:cs="Times New Roman"/>
        </w:rPr>
        <w:t xml:space="preserve"> de Múltiplas Vozes”</w:t>
      </w:r>
      <w:r w:rsidR="00AF430E">
        <w:rPr>
          <w:rFonts w:ascii="Times New Roman" w:eastAsia="Times New Roman" w:hAnsi="Times New Roman" w:cs="Times New Roman"/>
        </w:rPr>
        <w:t>, realizado pelo NIPAM/UFPB</w:t>
      </w:r>
      <w:r w:rsidR="008F0168">
        <w:rPr>
          <w:rFonts w:ascii="Times New Roman" w:eastAsia="Times New Roman" w:hAnsi="Times New Roman" w:cs="Times New Roman"/>
        </w:rPr>
        <w:t xml:space="preserve">, </w:t>
      </w:r>
      <w:r w:rsidR="008F0168" w:rsidRPr="008F0168">
        <w:rPr>
          <w:rFonts w:ascii="Times New Roman" w:eastAsia="Times New Roman" w:hAnsi="Times New Roman" w:cs="Times New Roman"/>
          <w:lang w:val="pt-PT"/>
        </w:rPr>
        <w:t>em comemoração ao Dia Internacional da Mulher, 8 de março. A atividade</w:t>
      </w:r>
      <w:r w:rsidR="008F0168">
        <w:rPr>
          <w:rFonts w:ascii="Times New Roman" w:eastAsia="Times New Roman" w:hAnsi="Times New Roman" w:cs="Times New Roman"/>
          <w:lang w:val="pt-PT"/>
        </w:rPr>
        <w:t xml:space="preserve"> da escrita de cartas anônimas</w:t>
      </w:r>
      <w:r w:rsidR="008F0168" w:rsidRPr="008F0168">
        <w:rPr>
          <w:rFonts w:ascii="Times New Roman" w:eastAsia="Times New Roman" w:hAnsi="Times New Roman" w:cs="Times New Roman"/>
          <w:lang w:val="pt-PT"/>
        </w:rPr>
        <w:t xml:space="preserve"> foi </w:t>
      </w:r>
      <w:r w:rsidR="008F0168">
        <w:rPr>
          <w:rFonts w:ascii="Times New Roman" w:eastAsia="Times New Roman" w:hAnsi="Times New Roman" w:cs="Times New Roman"/>
          <w:lang w:val="pt-PT"/>
        </w:rPr>
        <w:t xml:space="preserve">divulgada na programação do evento e em cartazes espalhados pela </w:t>
      </w:r>
      <w:r w:rsidR="008F0168" w:rsidRPr="008F0168">
        <w:rPr>
          <w:rFonts w:ascii="Times New Roman" w:eastAsia="Times New Roman" w:hAnsi="Times New Roman" w:cs="Times New Roman"/>
          <w:lang w:val="pt-PT"/>
        </w:rPr>
        <w:t>praça Marielle Franco</w:t>
      </w:r>
      <w:r w:rsidR="008F0168">
        <w:rPr>
          <w:rFonts w:ascii="Times New Roman" w:eastAsia="Times New Roman" w:hAnsi="Times New Roman" w:cs="Times New Roman"/>
          <w:lang w:val="pt-PT"/>
        </w:rPr>
        <w:t xml:space="preserve">, </w:t>
      </w:r>
      <w:r w:rsidR="008F0168">
        <w:rPr>
          <w:rFonts w:ascii="Times New Roman" w:eastAsia="Times New Roman" w:hAnsi="Times New Roman" w:cs="Times New Roman"/>
        </w:rPr>
        <w:t xml:space="preserve">no âmbito do Centro de Educação, da Universidade Federal da Paraíba, onde havia </w:t>
      </w:r>
      <w:r w:rsidR="008F0168" w:rsidRPr="008F0168">
        <w:rPr>
          <w:rFonts w:ascii="Times New Roman" w:eastAsia="Times New Roman" w:hAnsi="Times New Roman" w:cs="Times New Roman"/>
          <w:lang w:val="pt-PT"/>
        </w:rPr>
        <w:t xml:space="preserve">uma urna fechada </w:t>
      </w:r>
      <w:r w:rsidR="008F0168">
        <w:rPr>
          <w:rFonts w:ascii="Times New Roman" w:eastAsia="Times New Roman" w:hAnsi="Times New Roman" w:cs="Times New Roman"/>
          <w:lang w:val="pt-PT"/>
        </w:rPr>
        <w:t>para a</w:t>
      </w:r>
      <w:r w:rsidR="008F0168" w:rsidRPr="008F0168">
        <w:rPr>
          <w:rFonts w:ascii="Times New Roman" w:eastAsia="Times New Roman" w:hAnsi="Times New Roman" w:cs="Times New Roman"/>
          <w:lang w:val="pt-PT"/>
        </w:rPr>
        <w:t xml:space="preserve">s cartas </w:t>
      </w:r>
      <w:r w:rsidR="008F0168">
        <w:rPr>
          <w:rFonts w:ascii="Times New Roman" w:eastAsia="Times New Roman" w:hAnsi="Times New Roman" w:cs="Times New Roman"/>
          <w:lang w:val="pt-PT"/>
        </w:rPr>
        <w:t>serem</w:t>
      </w:r>
      <w:r w:rsidR="008F0168" w:rsidRPr="008F0168">
        <w:rPr>
          <w:rFonts w:ascii="Times New Roman" w:eastAsia="Times New Roman" w:hAnsi="Times New Roman" w:cs="Times New Roman"/>
          <w:lang w:val="pt-PT"/>
        </w:rPr>
        <w:t xml:space="preserve"> depositadas.</w:t>
      </w:r>
    </w:p>
    <w:p w14:paraId="679C9359" w14:textId="7DA0569F" w:rsidR="008F0168" w:rsidRPr="00256FEC" w:rsidRDefault="008F0168" w:rsidP="008F016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8F0168">
        <w:rPr>
          <w:rFonts w:ascii="Times New Roman" w:eastAsia="Times New Roman" w:hAnsi="Times New Roman" w:cs="Times New Roman"/>
          <w:lang w:val="pt-PT"/>
        </w:rPr>
        <w:t>O ato de escrever e depositar a carta na urna, exposta publicamente com as cartas posicionadas lateralmente, simboliza tanto a liberdade de expressão quanto a confiança em um espaço seguro, permitindo que cada mulher compartilhasse sua história sem medo de exposição ou julgamento</w:t>
      </w:r>
      <w:r>
        <w:rPr>
          <w:rFonts w:ascii="Times New Roman" w:eastAsia="Times New Roman" w:hAnsi="Times New Roman" w:cs="Times New Roman"/>
          <w:lang w:val="pt-PT"/>
        </w:rPr>
        <w:t xml:space="preserve">. Para além disso, a necessidade de </w:t>
      </w:r>
      <w:r w:rsidR="00A5281A">
        <w:rPr>
          <w:rFonts w:ascii="Times New Roman" w:eastAsia="Times New Roman" w:hAnsi="Times New Roman" w:cs="Times New Roman"/>
          <w:lang w:val="pt-PT"/>
        </w:rPr>
        <w:t>ampliar</w:t>
      </w:r>
      <w:r>
        <w:rPr>
          <w:rFonts w:ascii="Times New Roman" w:eastAsia="Times New Roman" w:hAnsi="Times New Roman" w:cs="Times New Roman"/>
          <w:lang w:val="pt-PT"/>
        </w:rPr>
        <w:t xml:space="preserve"> espaços para as vozes das mulheres.</w:t>
      </w:r>
    </w:p>
    <w:p w14:paraId="213E0197" w14:textId="77777777" w:rsidR="008F45F3" w:rsidRPr="00256FEC" w:rsidRDefault="00EA330E" w:rsidP="00256FE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</w:rPr>
        <w:lastRenderedPageBreak/>
        <w:t>O processo analítico seguiu uma abordagem qualitativa organizada em etapas. Inicialmente, o material foi digitalizado e transcrito de forma fidedigna, pre</w:t>
      </w:r>
      <w:r w:rsidRPr="00256FEC">
        <w:rPr>
          <w:rFonts w:ascii="Times New Roman" w:eastAsia="Times New Roman" w:hAnsi="Times New Roman" w:cs="Times New Roman"/>
        </w:rPr>
        <w:t>servando as singularidades da escrita, como erros ortográficos ou gramaticais, que são parte da expressão singular das autoras. Em seguida, realizou-se a leitura flutuante e a codificação inicial, marcando trechos que remetiam a temas recorrentes, como vio</w:t>
      </w:r>
      <w:r w:rsidRPr="00256FEC">
        <w:rPr>
          <w:rFonts w:ascii="Times New Roman" w:eastAsia="Times New Roman" w:hAnsi="Times New Roman" w:cs="Times New Roman"/>
        </w:rPr>
        <w:t>lência, maternidade, abandono escolar, retorno aos estudos e resistência.</w:t>
      </w:r>
    </w:p>
    <w:p w14:paraId="62CFBBBF" w14:textId="77777777" w:rsidR="008F45F3" w:rsidRPr="00256FEC" w:rsidRDefault="00EA330E" w:rsidP="00256FE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</w:rPr>
        <w:t>A análise subsequente envolveu a identificação de focos temáticos e a articulação com o referencial teórico. A pesquisa preservou integralmente o anonimato das autoras e a confidenci</w:t>
      </w:r>
      <w:r w:rsidRPr="00256FEC">
        <w:rPr>
          <w:rFonts w:ascii="Times New Roman" w:eastAsia="Times New Roman" w:hAnsi="Times New Roman" w:cs="Times New Roman"/>
        </w:rPr>
        <w:t>alidade das narrativas, seguindo os princípios éticos de cuidado com as experiências sensíveis. As cartas foram divididas em duas categorias para comparação: alunas da EJA e voluntárias anônimas.</w:t>
      </w:r>
    </w:p>
    <w:p w14:paraId="7644A671" w14:textId="4DFC31C9" w:rsidR="008F45F3" w:rsidRPr="00256FEC" w:rsidRDefault="00EA330E" w:rsidP="00AF430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</w:rPr>
        <w:t xml:space="preserve"> </w:t>
      </w:r>
    </w:p>
    <w:p w14:paraId="42B23862" w14:textId="0BF24231" w:rsidR="008F45F3" w:rsidRPr="00256FEC" w:rsidRDefault="00EA330E" w:rsidP="00AF430E">
      <w:pPr>
        <w:keepNext/>
        <w:keepLines/>
        <w:spacing w:after="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256FEC">
        <w:rPr>
          <w:rFonts w:ascii="Times New Roman" w:eastAsia="Times New Roman" w:hAnsi="Times New Roman" w:cs="Times New Roman"/>
          <w:b/>
        </w:rPr>
        <w:t>RESULTADOS E DISCUSSÃO</w:t>
      </w:r>
    </w:p>
    <w:p w14:paraId="4A29E0B1" w14:textId="77777777" w:rsidR="008F45F3" w:rsidRDefault="008F45F3" w:rsidP="00256FE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</w:rPr>
      </w:pPr>
    </w:p>
    <w:p w14:paraId="6C1EDFB7" w14:textId="77777777" w:rsidR="00A5281A" w:rsidRDefault="00A5281A" w:rsidP="00A5281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lang w:val="pt-PT"/>
        </w:rPr>
      </w:pPr>
      <w:r w:rsidRPr="00A5281A">
        <w:rPr>
          <w:rFonts w:ascii="Times New Roman" w:eastAsia="Times New Roman" w:hAnsi="Times New Roman" w:cs="Times New Roman"/>
          <w:lang w:val="pt-PT"/>
        </w:rPr>
        <w:t>Em conjunto, as cartas articulam memórias de infância, trajetórias de maternidade precoce, experiências de violência íntima e escolar, retornos aos estudos, esperanças de realização profissional e relatos de racismo e exclusão social.</w:t>
      </w:r>
    </w:p>
    <w:p w14:paraId="2E065436" w14:textId="66AFCECD" w:rsidR="00A5281A" w:rsidRDefault="00EA330E" w:rsidP="00A5281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lang w:val="pt-PT"/>
        </w:rPr>
      </w:pPr>
      <w:r w:rsidRPr="00256FEC">
        <w:rPr>
          <w:rFonts w:ascii="Times New Roman" w:eastAsia="Times New Roman" w:hAnsi="Times New Roman" w:cs="Times New Roman"/>
        </w:rPr>
        <w:t xml:space="preserve">A análise demonstrou que as cartas </w:t>
      </w:r>
      <w:r w:rsidRPr="00256FEC">
        <w:rPr>
          <w:rFonts w:ascii="Times New Roman" w:eastAsia="Times New Roman" w:hAnsi="Times New Roman" w:cs="Times New Roman"/>
        </w:rPr>
        <w:t>funcionam como um espaço polifônico, onde se articulam memórias, violência estrutural, rupturas e a afirmação de novas agências. Os relatos de violência (física, sexual e psicológica) aparecem com frequência, demonstrando como o corpo feminino é alvo de pr</w:t>
      </w:r>
      <w:r w:rsidRPr="00256FEC">
        <w:rPr>
          <w:rFonts w:ascii="Times New Roman" w:eastAsia="Times New Roman" w:hAnsi="Times New Roman" w:cs="Times New Roman"/>
        </w:rPr>
        <w:t>áticas disciplinadoras e coercitivas, tanto no nível doméstico quanto institucional, configurando uma "economia política dos corpos" no sentido foucaultiano</w:t>
      </w:r>
      <w:r w:rsidR="00DA5133">
        <w:rPr>
          <w:rFonts w:ascii="Times New Roman" w:eastAsia="Times New Roman" w:hAnsi="Times New Roman" w:cs="Times New Roman"/>
        </w:rPr>
        <w:t>.</w:t>
      </w:r>
    </w:p>
    <w:p w14:paraId="7C46C8C7" w14:textId="13650716" w:rsidR="008F45F3" w:rsidRPr="00A5281A" w:rsidRDefault="00A5281A" w:rsidP="00A5281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lang w:val="pt-PT"/>
        </w:rPr>
      </w:pPr>
      <w:r>
        <w:rPr>
          <w:rFonts w:ascii="Times New Roman" w:eastAsia="Times New Roman" w:hAnsi="Times New Roman" w:cs="Times New Roman"/>
          <w:lang w:val="pt-PT"/>
        </w:rPr>
        <w:t xml:space="preserve">Conforme </w:t>
      </w:r>
      <w:r w:rsidRPr="00256FEC">
        <w:rPr>
          <w:rFonts w:ascii="Times New Roman" w:eastAsia="Times New Roman" w:hAnsi="Times New Roman" w:cs="Times New Roman"/>
        </w:rPr>
        <w:t>Foucault</w:t>
      </w:r>
      <w:r>
        <w:rPr>
          <w:rFonts w:ascii="Times New Roman" w:eastAsia="Times New Roman" w:hAnsi="Times New Roman" w:cs="Times New Roman"/>
        </w:rPr>
        <w:t xml:space="preserve"> </w:t>
      </w:r>
      <w:r w:rsidRPr="00256FEC">
        <w:rPr>
          <w:rFonts w:ascii="Times New Roman" w:eastAsia="Times New Roman" w:hAnsi="Times New Roman" w:cs="Times New Roman"/>
        </w:rPr>
        <w:t>(1988, p. 99)</w:t>
      </w:r>
      <w:r>
        <w:rPr>
          <w:rFonts w:ascii="Times New Roman" w:eastAsia="Times New Roman" w:hAnsi="Times New Roman" w:cs="Times New Roman"/>
        </w:rPr>
        <w:t>,</w:t>
      </w:r>
      <w:r w:rsidRPr="00256FE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“a</w:t>
      </w:r>
      <w:r w:rsidRPr="00256FEC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56FEC">
        <w:rPr>
          <w:rFonts w:ascii="Times New Roman" w:eastAsia="Times New Roman" w:hAnsi="Times New Roman" w:cs="Times New Roman"/>
        </w:rPr>
        <w:t>histerização</w:t>
      </w:r>
      <w:proofErr w:type="spellEnd"/>
      <w:r w:rsidRPr="00256FEC">
        <w:rPr>
          <w:rFonts w:ascii="Times New Roman" w:eastAsia="Times New Roman" w:hAnsi="Times New Roman" w:cs="Times New Roman"/>
        </w:rPr>
        <w:t xml:space="preserve"> do corpo da mulher [...] integrou o corpo feminino ao campo das práticas médicas e da responsabilidade familiar”</w:t>
      </w:r>
      <w:r>
        <w:rPr>
          <w:rFonts w:ascii="Times New Roman" w:eastAsia="Times New Roman" w:hAnsi="Times New Roman" w:cs="Times New Roman"/>
        </w:rPr>
        <w:t>.</w:t>
      </w:r>
      <w:r w:rsidRPr="00256FE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Com isso, compreende-se que a</w:t>
      </w:r>
      <w:r w:rsidRPr="00256FEC">
        <w:rPr>
          <w:rFonts w:ascii="Times New Roman" w:eastAsia="Times New Roman" w:hAnsi="Times New Roman" w:cs="Times New Roman"/>
        </w:rPr>
        <w:t xml:space="preserve"> maternidade precoce e o abandono escolar surgem como efeitos de tecnologias de gênero que historicamente buscam a docilização e a captura do corpo da mulher, vinculando-o ao cuidado e à renúncia. A lógica do poder se manifesta nas cartas sob a forma de sobrecarga cotidiana, na qual a mulher precisa conciliar estudos, trabalho e o cuidado com os filhos e a casa, sob o risco de ser considerada inadequada. A vigilância sobre o corpo e a conduta se assemelha</w:t>
      </w:r>
      <w:r>
        <w:rPr>
          <w:rFonts w:ascii="Times New Roman" w:eastAsia="Times New Roman" w:hAnsi="Times New Roman" w:cs="Times New Roman"/>
        </w:rPr>
        <w:t>m</w:t>
      </w:r>
      <w:r w:rsidRPr="00256FEC">
        <w:rPr>
          <w:rFonts w:ascii="Times New Roman" w:eastAsia="Times New Roman" w:hAnsi="Times New Roman" w:cs="Times New Roman"/>
        </w:rPr>
        <w:t xml:space="preserve"> ao </w:t>
      </w:r>
      <w:proofErr w:type="spellStart"/>
      <w:r w:rsidRPr="00256FEC">
        <w:rPr>
          <w:rFonts w:ascii="Times New Roman" w:eastAsia="Times New Roman" w:hAnsi="Times New Roman" w:cs="Times New Roman"/>
        </w:rPr>
        <w:t>panoptismo</w:t>
      </w:r>
      <w:proofErr w:type="spellEnd"/>
      <w:r w:rsidRPr="00256FEC">
        <w:rPr>
          <w:rFonts w:ascii="Times New Roman" w:eastAsia="Times New Roman" w:hAnsi="Times New Roman" w:cs="Times New Roman"/>
        </w:rPr>
        <w:t>, onde o poder opera pelo jogo do olhar e pela visibilidade obrigatória dos súditos</w:t>
      </w:r>
      <w:r w:rsidR="00DA5133">
        <w:rPr>
          <w:rFonts w:ascii="Times New Roman" w:eastAsia="Times New Roman" w:hAnsi="Times New Roman" w:cs="Times New Roman"/>
        </w:rPr>
        <w:t>. Assim, “o</w:t>
      </w:r>
      <w:r w:rsidRPr="00256FEC">
        <w:rPr>
          <w:rFonts w:ascii="Times New Roman" w:eastAsia="Times New Roman" w:hAnsi="Times New Roman" w:cs="Times New Roman"/>
        </w:rPr>
        <w:t xml:space="preserve"> corpo só se torna força útil quando é ao mesmo tempo corpo produtivo e corpo submisso” (Foucault, 1975, p. 126).</w:t>
      </w:r>
    </w:p>
    <w:p w14:paraId="42916943" w14:textId="77777777" w:rsidR="008F45F3" w:rsidRPr="00256FEC" w:rsidRDefault="00EA330E" w:rsidP="00256FE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</w:rPr>
        <w:lastRenderedPageBreak/>
        <w:t>Contudo, as narrativas revelam movimentos potentes de resistência. O retorno ao EJA é visto pelas alunas como um caminho para a autonomia, como um "laboratório de reabertura de futuro". Elas buscam reajustar os mecanismos da máquina disciplinar par</w:t>
      </w:r>
      <w:r w:rsidRPr="00256FEC">
        <w:rPr>
          <w:rFonts w:ascii="Times New Roman" w:eastAsia="Times New Roman" w:hAnsi="Times New Roman" w:cs="Times New Roman"/>
        </w:rPr>
        <w:t xml:space="preserve">a um novo propósito. </w:t>
      </w:r>
    </w:p>
    <w:p w14:paraId="5F8009A0" w14:textId="77777777" w:rsidR="008F45F3" w:rsidRPr="00256FEC" w:rsidRDefault="00EA330E" w:rsidP="00256FE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</w:rPr>
        <w:t xml:space="preserve">A escrita das cartas manifesta-se como uma tecnologia de subjetivação, ou escrita de si. Como em Foucault, a prática da escrita tem uma função </w:t>
      </w:r>
      <w:proofErr w:type="spellStart"/>
      <w:r w:rsidRPr="00256FEC">
        <w:rPr>
          <w:rFonts w:ascii="Times New Roman" w:eastAsia="Times New Roman" w:hAnsi="Times New Roman" w:cs="Times New Roman"/>
        </w:rPr>
        <w:t>etopoiética</w:t>
      </w:r>
      <w:proofErr w:type="spellEnd"/>
      <w:r w:rsidRPr="00256FEC">
        <w:rPr>
          <w:rFonts w:ascii="Times New Roman" w:eastAsia="Times New Roman" w:hAnsi="Times New Roman" w:cs="Times New Roman"/>
        </w:rPr>
        <w:t xml:space="preserve">, transformando a verdade em </w:t>
      </w:r>
      <w:proofErr w:type="spellStart"/>
      <w:r w:rsidRPr="00256FEC">
        <w:rPr>
          <w:rFonts w:ascii="Times New Roman" w:eastAsia="Times New Roman" w:hAnsi="Times New Roman" w:cs="Times New Roman"/>
        </w:rPr>
        <w:t>ethos</w:t>
      </w:r>
      <w:proofErr w:type="spellEnd"/>
      <w:r w:rsidRPr="00256FEC">
        <w:rPr>
          <w:rFonts w:ascii="Times New Roman" w:eastAsia="Times New Roman" w:hAnsi="Times New Roman" w:cs="Times New Roman"/>
        </w:rPr>
        <w:t>, permitindo às autoras reorganizarem suas mem</w:t>
      </w:r>
      <w:r w:rsidRPr="00256FEC">
        <w:rPr>
          <w:rFonts w:ascii="Times New Roman" w:eastAsia="Times New Roman" w:hAnsi="Times New Roman" w:cs="Times New Roman"/>
        </w:rPr>
        <w:t>órias, transformarem o trauma em denúncia e o silêncio em palavras. Ao afirmarem a própria força e resiliência, as mulheres constroem uma identidade resistente. A pastoral cristã inscreveu o dever de fazer do desejo um discurso (confissão), e a sociedade a</w:t>
      </w:r>
      <w:r w:rsidRPr="00256FEC">
        <w:rPr>
          <w:rFonts w:ascii="Times New Roman" w:eastAsia="Times New Roman" w:hAnsi="Times New Roman" w:cs="Times New Roman"/>
        </w:rPr>
        <w:t>tual exige o discurso da verdade sobre si (confissão da carne). Aqui a escrita se torna o instrumento pelo qual as mulheres expressam sua singularidade sexual e trajetória (o que se liga à confissão como processo de individualização pelo poder), mas o faze</w:t>
      </w:r>
      <w:r w:rsidRPr="00256FEC">
        <w:rPr>
          <w:rFonts w:ascii="Times New Roman" w:eastAsia="Times New Roman" w:hAnsi="Times New Roman" w:cs="Times New Roman"/>
        </w:rPr>
        <w:t>m para se reconfigurar, rompendo o silenciamento.</w:t>
      </w:r>
    </w:p>
    <w:p w14:paraId="4DFE3A9B" w14:textId="77777777" w:rsidR="008F45F3" w:rsidRPr="00256FEC" w:rsidRDefault="00EA330E" w:rsidP="00256FE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</w:rPr>
        <w:t>A análise integrada utiliza conceitos como o de alfabetismo crítico, de Paulo Freire, para ampliar a compreensão de como essas narrativas se transformam em práticas políticas. A pedagogia da libertação de F</w:t>
      </w:r>
      <w:r w:rsidRPr="00256FEC">
        <w:rPr>
          <w:rFonts w:ascii="Times New Roman" w:eastAsia="Times New Roman" w:hAnsi="Times New Roman" w:cs="Times New Roman"/>
        </w:rPr>
        <w:t xml:space="preserve">reire busca a conscientização, onde a consciência toca a sua essência social, opondo-se à educação bancária, que apenas deposita </w:t>
      </w:r>
      <w:proofErr w:type="spellStart"/>
      <w:r w:rsidRPr="00256FEC">
        <w:rPr>
          <w:rFonts w:ascii="Times New Roman" w:eastAsia="Times New Roman" w:hAnsi="Times New Roman" w:cs="Times New Roman"/>
        </w:rPr>
        <w:t>conteúdos</w:t>
      </w:r>
      <w:proofErr w:type="spellEnd"/>
      <w:r w:rsidRPr="00256FEC">
        <w:rPr>
          <w:rFonts w:ascii="Times New Roman" w:eastAsia="Times New Roman" w:hAnsi="Times New Roman" w:cs="Times New Roman"/>
        </w:rPr>
        <w:t>. O retorno aos estudos para obter independência financeira e ser exemplo para os filhos ilustra essa reconfiguração d</w:t>
      </w:r>
      <w:r w:rsidRPr="00256FEC">
        <w:rPr>
          <w:rFonts w:ascii="Times New Roman" w:eastAsia="Times New Roman" w:hAnsi="Times New Roman" w:cs="Times New Roman"/>
        </w:rPr>
        <w:t>o sujeito para a ação política.</w:t>
      </w:r>
    </w:p>
    <w:p w14:paraId="2D1B3356" w14:textId="77777777" w:rsidR="008F45F3" w:rsidRPr="00256FEC" w:rsidRDefault="00EA330E" w:rsidP="00256FE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</w:rPr>
        <w:t>Entre as voluntárias, as alunas da EJA enfatizam o orgulho por não desistir e a busca por oportunidades profissionais. As demais voluntárias frequentemente trazem relatos mais densos e dolorosos de assédio, medo e solidão, e</w:t>
      </w:r>
      <w:r w:rsidRPr="00256FEC">
        <w:rPr>
          <w:rFonts w:ascii="Times New Roman" w:eastAsia="Times New Roman" w:hAnsi="Times New Roman" w:cs="Times New Roman"/>
        </w:rPr>
        <w:t xml:space="preserve">xpondo como a normalização opera por distinções finas e classificações hierarquizantes que têm o intuito de manter as mulheres submissas a partir de suas próprias vivências e </w:t>
      </w:r>
      <w:proofErr w:type="spellStart"/>
      <w:r w:rsidRPr="00256FEC">
        <w:rPr>
          <w:rFonts w:ascii="Times New Roman" w:eastAsia="Times New Roman" w:hAnsi="Times New Roman" w:cs="Times New Roman"/>
        </w:rPr>
        <w:t>subtividades</w:t>
      </w:r>
      <w:proofErr w:type="spellEnd"/>
      <w:r w:rsidRPr="00256FEC">
        <w:rPr>
          <w:rFonts w:ascii="Times New Roman" w:eastAsia="Times New Roman" w:hAnsi="Times New Roman" w:cs="Times New Roman"/>
        </w:rPr>
        <w:t>. Em resumo, a violência (que envolve o corpo e a alma) e o silenciam</w:t>
      </w:r>
      <w:r w:rsidRPr="00256FEC">
        <w:rPr>
          <w:rFonts w:ascii="Times New Roman" w:eastAsia="Times New Roman" w:hAnsi="Times New Roman" w:cs="Times New Roman"/>
        </w:rPr>
        <w:t>ento são combatidos pela reapropriação dos dispositivos de poder: a escola, a maternidade e a escrita são transformadas em tecnologias de si e em instrumentos de agência feminina.</w:t>
      </w:r>
    </w:p>
    <w:p w14:paraId="6B4BCE07" w14:textId="77777777" w:rsidR="008F45F3" w:rsidRPr="00256FEC" w:rsidRDefault="008F45F3" w:rsidP="00AF430E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62BCEAA" w14:textId="62A6E0D8" w:rsidR="008F45F3" w:rsidRPr="00256FEC" w:rsidRDefault="00EA330E" w:rsidP="00AF430E">
      <w:pPr>
        <w:keepNext/>
        <w:keepLines/>
        <w:spacing w:after="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256FEC">
        <w:rPr>
          <w:rFonts w:ascii="Times New Roman" w:eastAsia="Times New Roman" w:hAnsi="Times New Roman" w:cs="Times New Roman"/>
          <w:b/>
        </w:rPr>
        <w:t>CONSIDERAÇÕES FINAIS</w:t>
      </w:r>
    </w:p>
    <w:p w14:paraId="69A42DCA" w14:textId="77777777" w:rsidR="008F45F3" w:rsidRPr="00256FEC" w:rsidRDefault="008F45F3" w:rsidP="00256FEC">
      <w:pPr>
        <w:keepNext/>
        <w:keepLines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</w:rPr>
      </w:pPr>
    </w:p>
    <w:p w14:paraId="5A7D9D03" w14:textId="77777777" w:rsidR="008F45F3" w:rsidRPr="00256FEC" w:rsidRDefault="00EA330E" w:rsidP="00256FE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</w:rPr>
        <w:t>O estudo demonstra que o “ser mulher” é produzido por</w:t>
      </w:r>
      <w:r w:rsidRPr="00256FEC">
        <w:rPr>
          <w:rFonts w:ascii="Times New Roman" w:eastAsia="Times New Roman" w:hAnsi="Times New Roman" w:cs="Times New Roman"/>
        </w:rPr>
        <w:t xml:space="preserve"> dispositivos que multiplicam discursos sobre o corpo e a conduta, fabricando docilidades e instalando uma política dos corpos. </w:t>
      </w:r>
    </w:p>
    <w:p w14:paraId="638B6B3B" w14:textId="7E6BE49E" w:rsidR="008F45F3" w:rsidRPr="00DA5133" w:rsidRDefault="00EA330E" w:rsidP="00EA330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</w:rPr>
        <w:lastRenderedPageBreak/>
        <w:t xml:space="preserve">A escrita opera como um gesto ético-político-social, transformando o vivido em saber, o trauma em denúncia, e a palavra em </w:t>
      </w:r>
      <w:r w:rsidRPr="00256FEC">
        <w:rPr>
          <w:rFonts w:ascii="Times New Roman" w:eastAsia="Times New Roman" w:hAnsi="Times New Roman" w:cs="Times New Roman"/>
        </w:rPr>
        <w:t>prática de recomposição de si e do outro. O estudo reforça a importância de espaços educativos e comunitários, como o NIPAM e o EJA, que promovem o diálogo e o reconhecimento, permitindo que as mulheres interrompam o silenciamento e reconfigurem suas exist</w:t>
      </w:r>
      <w:r w:rsidRPr="00256FEC">
        <w:rPr>
          <w:rFonts w:ascii="Times New Roman" w:eastAsia="Times New Roman" w:hAnsi="Times New Roman" w:cs="Times New Roman"/>
        </w:rPr>
        <w:t>ências, utilizando a voz como instrumento transformador.</w:t>
      </w:r>
      <w:r w:rsidR="00DA5133">
        <w:rPr>
          <w:rFonts w:ascii="Times New Roman" w:eastAsia="Times New Roman" w:hAnsi="Times New Roman" w:cs="Times New Roman"/>
        </w:rPr>
        <w:t xml:space="preserve"> Reafirmando Paulo Freire </w:t>
      </w:r>
      <w:r w:rsidR="00DA5133" w:rsidRPr="00256FEC">
        <w:rPr>
          <w:rFonts w:ascii="Times New Roman" w:eastAsia="Times New Roman" w:hAnsi="Times New Roman" w:cs="Times New Roman"/>
        </w:rPr>
        <w:t>(1974, p. 47)</w:t>
      </w:r>
      <w:r w:rsidR="00DA5133">
        <w:rPr>
          <w:rFonts w:ascii="Times New Roman" w:eastAsia="Times New Roman" w:hAnsi="Times New Roman" w:cs="Times New Roman"/>
        </w:rPr>
        <w:t xml:space="preserve">, </w:t>
      </w:r>
      <w:r w:rsidRPr="00256FEC">
        <w:rPr>
          <w:rFonts w:ascii="Times New Roman" w:eastAsia="Times New Roman" w:hAnsi="Times New Roman" w:cs="Times New Roman"/>
        </w:rPr>
        <w:t>“</w:t>
      </w:r>
      <w:r w:rsidR="00DA5133">
        <w:rPr>
          <w:rFonts w:ascii="Times New Roman" w:eastAsia="Times New Roman" w:hAnsi="Times New Roman" w:cs="Times New Roman"/>
        </w:rPr>
        <w:t>n</w:t>
      </w:r>
      <w:r w:rsidRPr="00256FEC">
        <w:rPr>
          <w:rFonts w:ascii="Times New Roman" w:eastAsia="Times New Roman" w:hAnsi="Times New Roman" w:cs="Times New Roman"/>
        </w:rPr>
        <w:t>inguém liberta ninguém, ninguém se liberta sozinho: os homens se libertam em comunhão”.</w:t>
      </w:r>
    </w:p>
    <w:p w14:paraId="769D955D" w14:textId="713FAAE5" w:rsidR="008F45F3" w:rsidRPr="00256FEC" w:rsidRDefault="00EA330E">
      <w:pPr>
        <w:spacing w:before="240" w:after="240" w:line="240" w:lineRule="auto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  <w:b/>
        </w:rPr>
        <w:t>REFERÊNCIAS</w:t>
      </w:r>
    </w:p>
    <w:p w14:paraId="1678164F" w14:textId="77777777" w:rsidR="008F45F3" w:rsidRPr="00256FEC" w:rsidRDefault="00EA330E" w:rsidP="00EA330E">
      <w:pPr>
        <w:spacing w:after="240" w:line="240" w:lineRule="auto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</w:rPr>
        <w:t xml:space="preserve">BRANDÃO, Carlos Rodrigues. </w:t>
      </w:r>
      <w:r w:rsidRPr="00DA5133">
        <w:rPr>
          <w:rFonts w:ascii="Times New Roman" w:eastAsia="Times New Roman" w:hAnsi="Times New Roman" w:cs="Times New Roman"/>
          <w:b/>
          <w:bCs/>
        </w:rPr>
        <w:t>O que é método Paulo Freire</w:t>
      </w:r>
      <w:r w:rsidRPr="00256FEC">
        <w:rPr>
          <w:rFonts w:ascii="Times New Roman" w:eastAsia="Times New Roman" w:hAnsi="Times New Roman" w:cs="Times New Roman"/>
        </w:rPr>
        <w:t>. São Paulo: Brasiliense, 41, 1981.</w:t>
      </w:r>
    </w:p>
    <w:p w14:paraId="17FCA267" w14:textId="77777777" w:rsidR="008F45F3" w:rsidRPr="00256FEC" w:rsidRDefault="00EA330E" w:rsidP="00EA330E">
      <w:pPr>
        <w:spacing w:after="240" w:line="240" w:lineRule="auto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</w:rPr>
        <w:t xml:space="preserve">FOUCAULT, Michel. </w:t>
      </w:r>
      <w:r w:rsidRPr="00EA330E">
        <w:rPr>
          <w:rFonts w:ascii="Times New Roman" w:eastAsia="Times New Roman" w:hAnsi="Times New Roman" w:cs="Times New Roman"/>
          <w:b/>
          <w:bCs/>
        </w:rPr>
        <w:t>História da Sexualidade I</w:t>
      </w:r>
      <w:r w:rsidRPr="00EA330E">
        <w:rPr>
          <w:rFonts w:ascii="Times New Roman" w:eastAsia="Times New Roman" w:hAnsi="Times New Roman" w:cs="Times New Roman"/>
        </w:rPr>
        <w:t>: A vontade de saber</w:t>
      </w:r>
      <w:r w:rsidRPr="00256FEC">
        <w:rPr>
          <w:rFonts w:ascii="Times New Roman" w:eastAsia="Times New Roman" w:hAnsi="Times New Roman" w:cs="Times New Roman"/>
        </w:rPr>
        <w:t xml:space="preserve">. Tradução de Maria Thereza da Costa Albuquerque e J. A. </w:t>
      </w:r>
      <w:proofErr w:type="spellStart"/>
      <w:r w:rsidRPr="00256FEC">
        <w:rPr>
          <w:rFonts w:ascii="Times New Roman" w:eastAsia="Times New Roman" w:hAnsi="Times New Roman" w:cs="Times New Roman"/>
        </w:rPr>
        <w:t>Guilhon</w:t>
      </w:r>
      <w:proofErr w:type="spellEnd"/>
      <w:r w:rsidRPr="00256FEC">
        <w:rPr>
          <w:rFonts w:ascii="Times New Roman" w:eastAsia="Times New Roman" w:hAnsi="Times New Roman" w:cs="Times New Roman"/>
        </w:rPr>
        <w:t xml:space="preserve"> Albuquerque. 13. ed. </w:t>
      </w:r>
      <w:r w:rsidRPr="00256FEC">
        <w:rPr>
          <w:rFonts w:ascii="Times New Roman" w:eastAsia="Times New Roman" w:hAnsi="Times New Roman" w:cs="Times New Roman"/>
        </w:rPr>
        <w:t>Rio de Janeiro: Graal, 1988.</w:t>
      </w:r>
    </w:p>
    <w:p w14:paraId="51EF0AC1" w14:textId="77777777" w:rsidR="008F45F3" w:rsidRPr="00256FEC" w:rsidRDefault="00EA330E" w:rsidP="00EA330E">
      <w:pPr>
        <w:spacing w:after="240" w:line="240" w:lineRule="auto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</w:rPr>
        <w:t xml:space="preserve">FOUCAULT, Michel. </w:t>
      </w:r>
      <w:r w:rsidRPr="00EA330E">
        <w:rPr>
          <w:rFonts w:ascii="Times New Roman" w:eastAsia="Times New Roman" w:hAnsi="Times New Roman" w:cs="Times New Roman"/>
          <w:b/>
          <w:bCs/>
        </w:rPr>
        <w:t>Vigiar e Punir</w:t>
      </w:r>
      <w:r w:rsidRPr="00EA330E">
        <w:rPr>
          <w:rFonts w:ascii="Times New Roman" w:eastAsia="Times New Roman" w:hAnsi="Times New Roman" w:cs="Times New Roman"/>
        </w:rPr>
        <w:t>: nascimento da prisão</w:t>
      </w:r>
      <w:r w:rsidRPr="00DA5133">
        <w:rPr>
          <w:rFonts w:ascii="Times New Roman" w:eastAsia="Times New Roman" w:hAnsi="Times New Roman" w:cs="Times New Roman"/>
          <w:b/>
          <w:bCs/>
        </w:rPr>
        <w:t>.</w:t>
      </w:r>
      <w:r w:rsidRPr="00256FEC">
        <w:rPr>
          <w:rFonts w:ascii="Times New Roman" w:eastAsia="Times New Roman" w:hAnsi="Times New Roman" w:cs="Times New Roman"/>
        </w:rPr>
        <w:t xml:space="preserve"> Tradução de Raquel Ramalhete. Petrópolis: Vozes, 1987.</w:t>
      </w:r>
    </w:p>
    <w:p w14:paraId="5A7C76F0" w14:textId="77777777" w:rsidR="008F45F3" w:rsidRPr="00256FEC" w:rsidRDefault="00EA330E" w:rsidP="00EA330E">
      <w:pPr>
        <w:spacing w:after="240" w:line="240" w:lineRule="auto"/>
        <w:rPr>
          <w:rFonts w:ascii="Times New Roman" w:eastAsia="Times New Roman" w:hAnsi="Times New Roman" w:cs="Times New Roman"/>
        </w:rPr>
      </w:pPr>
      <w:r w:rsidRPr="00256FEC">
        <w:rPr>
          <w:rFonts w:ascii="Times New Roman" w:eastAsia="Times New Roman" w:hAnsi="Times New Roman" w:cs="Times New Roman"/>
        </w:rPr>
        <w:t xml:space="preserve">FOUCAULT, Michel. A escrita de si. </w:t>
      </w:r>
      <w:r w:rsidRPr="00EA330E">
        <w:rPr>
          <w:rFonts w:ascii="Times New Roman" w:eastAsia="Times New Roman" w:hAnsi="Times New Roman" w:cs="Times New Roman"/>
          <w:i/>
          <w:iCs/>
        </w:rPr>
        <w:t>In</w:t>
      </w:r>
      <w:r w:rsidRPr="00256FEC">
        <w:rPr>
          <w:rFonts w:ascii="Times New Roman" w:eastAsia="Times New Roman" w:hAnsi="Times New Roman" w:cs="Times New Roman"/>
        </w:rPr>
        <w:t xml:space="preserve">: </w:t>
      </w:r>
      <w:r w:rsidRPr="00DA5133">
        <w:rPr>
          <w:rFonts w:ascii="Times New Roman" w:eastAsia="Times New Roman" w:hAnsi="Times New Roman" w:cs="Times New Roman"/>
          <w:b/>
          <w:bCs/>
        </w:rPr>
        <w:t>O que é um autor?</w:t>
      </w:r>
      <w:r w:rsidRPr="00256FEC">
        <w:rPr>
          <w:rFonts w:ascii="Times New Roman" w:eastAsia="Times New Roman" w:hAnsi="Times New Roman" w:cs="Times New Roman"/>
        </w:rPr>
        <w:t xml:space="preserve"> Lisboa: Passagens, 1992. p. 129-160.</w:t>
      </w:r>
    </w:p>
    <w:p w14:paraId="33EC9D18" w14:textId="520ACB39" w:rsidR="00DA5133" w:rsidRPr="00DA5133" w:rsidRDefault="00DA5133" w:rsidP="00EA330E">
      <w:pPr>
        <w:spacing w:after="0" w:line="240" w:lineRule="auto"/>
        <w:rPr>
          <w:rFonts w:ascii="Times New Roman" w:eastAsia="Times New Roman" w:hAnsi="Times New Roman" w:cs="Times New Roman"/>
          <w:lang w:val="pt-PT"/>
        </w:rPr>
      </w:pPr>
      <w:r w:rsidRPr="00DA5133">
        <w:rPr>
          <w:rFonts w:ascii="Times New Roman" w:eastAsia="Times New Roman" w:hAnsi="Times New Roman" w:cs="Times New Roman"/>
          <w:lang w:val="pt-PT"/>
        </w:rPr>
        <w:t xml:space="preserve">CAVALLARI, Marçal Henrique Rossetto. </w:t>
      </w:r>
      <w:r w:rsidRPr="00DA5133">
        <w:rPr>
          <w:rFonts w:ascii="Times New Roman" w:eastAsia="Times New Roman" w:hAnsi="Times New Roman" w:cs="Times New Roman"/>
          <w:b/>
          <w:bCs/>
          <w:lang w:val="pt-PT"/>
        </w:rPr>
        <w:t>Resenha de: FOUCAULT, Michel. História da Sexualidade 3 – o cuidado de si</w:t>
      </w:r>
      <w:r w:rsidRPr="00DA5133">
        <w:rPr>
          <w:rFonts w:ascii="Times New Roman" w:eastAsia="Times New Roman" w:hAnsi="Times New Roman" w:cs="Times New Roman"/>
          <w:lang w:val="pt-PT"/>
        </w:rPr>
        <w:t>. Rio de Janeiro: Graal, 2002. Educação e Filosofia, v. 28, n. 55, p. 149-152, 2014.</w:t>
      </w:r>
    </w:p>
    <w:sectPr w:rsidR="00DA5133" w:rsidRPr="00DA51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5F3"/>
    <w:rsid w:val="00256FEC"/>
    <w:rsid w:val="00530850"/>
    <w:rsid w:val="00560326"/>
    <w:rsid w:val="0064241F"/>
    <w:rsid w:val="008F0168"/>
    <w:rsid w:val="008F45F3"/>
    <w:rsid w:val="00A22CA9"/>
    <w:rsid w:val="00A51114"/>
    <w:rsid w:val="00A5281A"/>
    <w:rsid w:val="00AC1536"/>
    <w:rsid w:val="00AF430E"/>
    <w:rsid w:val="00B645E9"/>
    <w:rsid w:val="00B7571B"/>
    <w:rsid w:val="00DA5133"/>
    <w:rsid w:val="00DF7B07"/>
    <w:rsid w:val="00EA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535FF"/>
  <w15:docId w15:val="{8A45C203-1E37-984C-933D-BBB1A4C8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1597</Words>
  <Characters>8629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Henry Santos</dc:creator>
  <cp:lastModifiedBy>Henry Santos</cp:lastModifiedBy>
  <cp:revision>2</cp:revision>
  <dcterms:created xsi:type="dcterms:W3CDTF">2026-03-28T15:22:00Z</dcterms:created>
  <dcterms:modified xsi:type="dcterms:W3CDTF">2026-03-28T15:22:00Z</dcterms:modified>
</cp:coreProperties>
</file>