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D19C0" w14:textId="4601C526" w:rsidR="003F7F29" w:rsidRDefault="003F7F29" w:rsidP="003F7F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D8C">
        <w:rPr>
          <w:noProof/>
        </w:rPr>
        <w:drawing>
          <wp:inline distT="0" distB="0" distL="0" distR="0" wp14:anchorId="4CF519F2" wp14:editId="71F13C44">
            <wp:extent cx="5400675" cy="140970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B6B99" w14:textId="77777777" w:rsidR="003F7F29" w:rsidRDefault="003F7F29" w:rsidP="00BD01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08C712" w14:textId="037BAAFF" w:rsidR="00BD0141" w:rsidRPr="00BD0141" w:rsidRDefault="00BD0141" w:rsidP="003F7F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Pr="00BD0141">
        <w:rPr>
          <w:rFonts w:ascii="Times New Roman" w:hAnsi="Times New Roman" w:cs="Times New Roman"/>
          <w:b/>
          <w:bCs/>
          <w:sz w:val="24"/>
          <w:szCs w:val="24"/>
        </w:rPr>
        <w:t xml:space="preserve">MARIA DA PENHA </w:t>
      </w:r>
      <w:r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BD0141">
        <w:rPr>
          <w:rFonts w:ascii="Times New Roman" w:hAnsi="Times New Roman" w:cs="Times New Roman"/>
          <w:b/>
          <w:bCs/>
          <w:sz w:val="24"/>
          <w:szCs w:val="24"/>
        </w:rPr>
        <w:t>A ESCOLA</w:t>
      </w:r>
      <w:r>
        <w:rPr>
          <w:rFonts w:ascii="Times New Roman" w:hAnsi="Times New Roman" w:cs="Times New Roman"/>
          <w:b/>
          <w:bCs/>
          <w:sz w:val="24"/>
          <w:szCs w:val="24"/>
        </w:rPr>
        <w:t>: DIÁLOGO E PREVENÇÃO DA VIOLÊNCIA DE GÊNERO</w:t>
      </w:r>
    </w:p>
    <w:p w14:paraId="1F100539" w14:textId="77777777" w:rsidR="00BD0141" w:rsidRDefault="00BD0141" w:rsidP="00BD01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012332" w14:textId="7B1869B1" w:rsidR="00BD0141" w:rsidRPr="003F7F29" w:rsidRDefault="00BD0141" w:rsidP="003F7F29">
      <w:pPr>
        <w:jc w:val="right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Ana Paula Brito Nunes</w:t>
      </w:r>
      <w:r w:rsidR="003F7F29">
        <w:rPr>
          <w:rStyle w:val="Refdenotaderodap"/>
          <w:rFonts w:ascii="Times New Roman" w:hAnsi="Times New Roman" w:cs="Times New Roman"/>
          <w:sz w:val="24"/>
          <w:szCs w:val="24"/>
        </w:rPr>
        <w:footnoteReference w:id="1"/>
      </w:r>
    </w:p>
    <w:p w14:paraId="35FA8197" w14:textId="2EE3A117" w:rsidR="00BD0141" w:rsidRPr="00BD0141" w:rsidRDefault="00BD0141" w:rsidP="00BD01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0141">
        <w:rPr>
          <w:rFonts w:ascii="Times New Roman" w:hAnsi="Times New Roman" w:cs="Times New Roman"/>
          <w:b/>
          <w:bCs/>
          <w:sz w:val="24"/>
          <w:szCs w:val="24"/>
        </w:rPr>
        <w:t>INTRODUÇÃO</w:t>
      </w:r>
    </w:p>
    <w:p w14:paraId="664A525F" w14:textId="77777777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A violência contra mulheres, enraizada em relações históricas de desigualdade, dominação e exclusão de gênero, permanece uma das mais graves violações dos direitos humanos no Brasil. Apesar dos avanços institucionais significativos, como a Lei Maria da Penha (Lei nº 11.340/2006) e a Lei do Feminicídio (Lei nº 13.104/2015), os índices de violência e feminicídio ainda são alarmantes. Entre 2022 e 2023, o Brasil registrou um aumento de 2,5% no número de homicídios femininos, o que contraria a tendência geral de redução observada desde 2018 e resulta em uma média chocante de 10 mulheres mortas por dia no país, segundo o Atlas da Violência 2025.</w:t>
      </w:r>
    </w:p>
    <w:p w14:paraId="4C470285" w14:textId="56886FBC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Esses dados evidenciam que, embora os dispositivos legais sejam marcos essenciais, eles não são suficientes por si sós para erradicar a violência contra as mulheres. O enfrentamento eficaz exige processos educativos transformadores. A proteção efetiva da vida e da dignidade das mulheres brasileiras depende de uma abordagem multifacetada que combine rigor legislativo com uma transformação social e cultural abrangente, ancorada em uma educação verdadeiramente libertadora.</w:t>
      </w:r>
    </w:p>
    <w:p w14:paraId="5B387365" w14:textId="77777777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Diante desse contexto, este ensaio teórico investiga a Lei Maria da Penha como ferramenta preventiva para o enfrentamento da violência contra a mulher e do feminicídio, concebendo a escola como um espaço privilegiado para o fomento de discussões e problematizações. Sob a perspectiva de Paulo Freire, a Lei Maria da Penha é analisada como um recurso pedagógico para a educação emancipatória. Articula-se também a Lei com os princípios da Teoria do Agir Comunicativo de Habermas, propondo a escola como uma microesfera pública, onde o diálogo racional, pautado na verdade, correção normativa e veracidade, fomenta o descentramento dos sujeitos e a reconstrução de normas sociais.</w:t>
      </w:r>
    </w:p>
    <w:p w14:paraId="31288FEB" w14:textId="77777777" w:rsidR="00BD0141" w:rsidRDefault="00BD0141" w:rsidP="00BD01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AFC3AF" w14:textId="4320D0C4" w:rsidR="00BD0141" w:rsidRPr="00BD0141" w:rsidRDefault="00BD0141" w:rsidP="00BD01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0141">
        <w:rPr>
          <w:rFonts w:ascii="Times New Roman" w:hAnsi="Times New Roman" w:cs="Times New Roman"/>
          <w:b/>
          <w:bCs/>
          <w:sz w:val="24"/>
          <w:szCs w:val="24"/>
        </w:rPr>
        <w:t>METODOLOGIA</w:t>
      </w:r>
    </w:p>
    <w:p w14:paraId="34F2C9D2" w14:textId="77777777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Este ensaio teórico-conceitual baseou-se em pesquisa bibliográfica exploratória e explicativa, com o objetivo de aprofundar a compreensão da violência contra as mulheres e explorar o potencial transformador da educação nesse cenário. O método buscou estabelecer um diálogo teórico-conceitual entre a prática pedagógica do ensino da Lei Maria da Penha e os fundamentos da Teoria do Agir Comunicativo de Jürgen Habermas, com ênfase em suas três pretensões de validade: verdade, correção normativa e veracidade.</w:t>
      </w:r>
    </w:p>
    <w:p w14:paraId="61354E6F" w14:textId="7EF5C109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A revisão bibliográfica, de caráter sistemático e crítico, abarcou as seguintes áreas e autores: Pedagogia Crítica (Paulo Freire), Estudos de Gênero (</w:t>
      </w:r>
      <w:proofErr w:type="spellStart"/>
      <w:r w:rsidRPr="00BD0141">
        <w:rPr>
          <w:rFonts w:ascii="Times New Roman" w:hAnsi="Times New Roman" w:cs="Times New Roman"/>
          <w:sz w:val="24"/>
          <w:szCs w:val="24"/>
        </w:rPr>
        <w:t>Heleieth</w:t>
      </w:r>
      <w:proofErr w:type="spellEnd"/>
      <w:r w:rsidRPr="00BD01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0141">
        <w:rPr>
          <w:rFonts w:ascii="Times New Roman" w:hAnsi="Times New Roman" w:cs="Times New Roman"/>
          <w:sz w:val="24"/>
          <w:szCs w:val="24"/>
        </w:rPr>
        <w:t>Saffioti</w:t>
      </w:r>
      <w:proofErr w:type="spellEnd"/>
      <w:r w:rsidRPr="00BD0141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BD0141">
        <w:rPr>
          <w:rFonts w:ascii="Times New Roman" w:hAnsi="Times New Roman" w:cs="Times New Roman"/>
          <w:sz w:val="24"/>
          <w:szCs w:val="24"/>
        </w:rPr>
        <w:t>Guacira</w:t>
      </w:r>
      <w:proofErr w:type="spellEnd"/>
      <w:r w:rsidRPr="00BD0141">
        <w:rPr>
          <w:rFonts w:ascii="Times New Roman" w:hAnsi="Times New Roman" w:cs="Times New Roman"/>
          <w:sz w:val="24"/>
          <w:szCs w:val="24"/>
        </w:rPr>
        <w:t xml:space="preserve"> Lopes Louro</w:t>
      </w:r>
      <w:proofErr w:type="gramStart"/>
      <w:r w:rsidRPr="00BD0141">
        <w:rPr>
          <w:rFonts w:ascii="Times New Roman" w:hAnsi="Times New Roman" w:cs="Times New Roman"/>
          <w:sz w:val="24"/>
          <w:szCs w:val="24"/>
        </w:rPr>
        <w:t>) ,</w:t>
      </w:r>
      <w:proofErr w:type="gramEnd"/>
      <w:r w:rsidRPr="00BD0141">
        <w:rPr>
          <w:rFonts w:ascii="Times New Roman" w:hAnsi="Times New Roman" w:cs="Times New Roman"/>
          <w:sz w:val="24"/>
          <w:szCs w:val="24"/>
        </w:rPr>
        <w:t xml:space="preserve"> Teoria do Agir Comunicativo (Jürgen Habermas) , legislação brasileira pertinente (Leis nº 11.340/2006 e nº 13.104/2015) , e dados e relatórios de pesquisa (Atlas da Violência 2025). A análise dos dados bibliográficos foi de natureza qualitativa, orientada pelos princípios da análise de conteúdo para identificar temas emergentes e as relações entre os discursos dos autores, permitindo uma compreensão sistemática e interpretativa.</w:t>
      </w:r>
    </w:p>
    <w:p w14:paraId="5951563B" w14:textId="77777777" w:rsidR="00BD0141" w:rsidRDefault="00BD0141" w:rsidP="00BD01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0EEDA9" w14:textId="47906C06" w:rsidR="00BD0141" w:rsidRPr="00BD0141" w:rsidRDefault="00BD0141" w:rsidP="00BD01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0141">
        <w:rPr>
          <w:rFonts w:ascii="Times New Roman" w:hAnsi="Times New Roman" w:cs="Times New Roman"/>
          <w:b/>
          <w:bCs/>
          <w:sz w:val="24"/>
          <w:szCs w:val="24"/>
        </w:rPr>
        <w:t>VIOLÊNCIA DE GÊNERO E O PAPEL DA ESCOLA</w:t>
      </w:r>
    </w:p>
    <w:p w14:paraId="38C05778" w14:textId="77777777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 xml:space="preserve">A violência contra as mulheres é uma construção histórica e social que se manifesta em múltiplas formas e tem como base estruturas de poder assimétricas que as subordinam. Segundo </w:t>
      </w:r>
      <w:proofErr w:type="spellStart"/>
      <w:r w:rsidRPr="00BD0141">
        <w:rPr>
          <w:rFonts w:ascii="Times New Roman" w:hAnsi="Times New Roman" w:cs="Times New Roman"/>
          <w:sz w:val="24"/>
          <w:szCs w:val="24"/>
        </w:rPr>
        <w:t>Saffioti</w:t>
      </w:r>
      <w:proofErr w:type="spellEnd"/>
      <w:r w:rsidRPr="00BD0141">
        <w:rPr>
          <w:rFonts w:ascii="Times New Roman" w:hAnsi="Times New Roman" w:cs="Times New Roman"/>
          <w:sz w:val="24"/>
          <w:szCs w:val="24"/>
        </w:rPr>
        <w:t xml:space="preserve"> (2015), ela não é apenas o resultado de atos individuais, mas a expressão de um sistema cultural, enraizado no patriarcado, que atribui ao homem uma posição de autoridade e controle, sendo a violência um componente da lógica desse sistema. O machismo, como ideologia de sustentação, pode ser reproduzido pela escola, mesmo que inconscientemente, por meio do currículo oculto ou da omissão pedagógica.</w:t>
      </w:r>
    </w:p>
    <w:p w14:paraId="45E85FB9" w14:textId="77777777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Diante disso, a escola emerge como um espaço primordial e privilegiado para a prevenção da violência de gênero. Ela é um território de disputas simbólicas e um espaço atravessado por relações de poder, não estando fora delas, podendo, inclusive, reproduzi-las. A atuação da escola na promoção da equidade de gênero precisa ser deliberada, planejada e crítica, buscando desvelar e questionar as normas de gênero invisibilizadas. Combatendo as ausências de discussão e a omissão, é essencial que a escola assuma uma postura ativa, fundamentada em uma educação em direitos humanos.</w:t>
      </w:r>
    </w:p>
    <w:p w14:paraId="7EAD20D5" w14:textId="77777777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 xml:space="preserve">A Lei Maria da Penha (Lei nº 11.340/2006), em seu artigo 8º, inciso III, prevê a promoção de estudos e campanhas educacionais para a prevenção da violência doméstica e familiar contra a mulher, e a LDB (Lei nº 9.394/1996) menciona a promoção dos direitos humanos. No entanto, essas diretrizes nem sempre se concretizam nas práticas pedagógicas, demonstrando uma lacuna entre a </w:t>
      </w:r>
      <w:r w:rsidRPr="00BD0141">
        <w:rPr>
          <w:rFonts w:ascii="Times New Roman" w:hAnsi="Times New Roman" w:cs="Times New Roman"/>
          <w:sz w:val="24"/>
          <w:szCs w:val="24"/>
        </w:rPr>
        <w:lastRenderedPageBreak/>
        <w:t>norma legal e a cultura de respeito. Integrar a Lei Maria da Penha como conteúdo pedagógico e compreendê-la como ferramenta educacional é fundamental para que a escola se torne um agente ativo na transformação cultural, rompendo com discursos normativos que perpetuam o silenciamento e a culpabilização das vítimas.</w:t>
      </w:r>
    </w:p>
    <w:p w14:paraId="03B589CB" w14:textId="77777777" w:rsidR="00BD0141" w:rsidRDefault="00BD0141" w:rsidP="00BD01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D18968" w14:textId="22B292BB" w:rsidR="00BD0141" w:rsidRPr="00BD0141" w:rsidRDefault="00BD0141" w:rsidP="00BD01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0141">
        <w:rPr>
          <w:rFonts w:ascii="Times New Roman" w:hAnsi="Times New Roman" w:cs="Times New Roman"/>
          <w:b/>
          <w:bCs/>
          <w:sz w:val="24"/>
          <w:szCs w:val="24"/>
        </w:rPr>
        <w:t>A LEI MARIA DA PENHA E A TEORIA DO AGIR COMUNICATIVO</w:t>
      </w:r>
    </w:p>
    <w:p w14:paraId="4B9148B3" w14:textId="77777777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A Lei Maria da Penha, reconhecida internacionalmente, não se restringe à punição, visando também à prevenção da violência e à promoção da equidade de gênero. Sua inserção no contexto escolar, portanto, deve ser vista como uma oportunidade para a construção de uma educação emancipatória e comprometida com os direitos humanos, assumindo uma postura crítica diante das estruturas que sustentam a violência. A Lei pode ser utilizada como instrumento pedagógico para a leitura crítica da sociedade e o desenvolvimento do pensamento ético, promovendo uma prática de liberdade.</w:t>
      </w:r>
    </w:p>
    <w:p w14:paraId="1F9EE6C7" w14:textId="77777777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A abordagem da Lei pode ser interdisciplinar, fomentando discussões sobre violência doméstica, relações de poder, cultura patriarcal e cidadania. Contudo, sua aplicação enfrenta obstáculos como a ausência de formação docente sobre gênero e o receio de lidar com temas “delicados”. Experiências bem-sucedidas, como o projeto "Dialogando com as Escolas sobre a Lei Maria da Penha" do MPSE, demonstram que, quando a educação se articula com a realidade local, pode construir espaços de escuta, acolhimento e enfrentamento da violência de forma democrática e ética.</w:t>
      </w:r>
    </w:p>
    <w:p w14:paraId="2E081B6A" w14:textId="77777777" w:rsidR="00BD0141" w:rsidRPr="00BD0141" w:rsidRDefault="00BD0141" w:rsidP="003F7F2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 xml:space="preserve">A Lei Maria da Penha, quando utilizada como um recurso pedagógico ético-discursivo, dialoga </w:t>
      </w:r>
      <w:r w:rsidRPr="003F7F29">
        <w:rPr>
          <w:rFonts w:ascii="Times New Roman" w:hAnsi="Times New Roman" w:cs="Times New Roman"/>
          <w:sz w:val="24"/>
          <w:szCs w:val="24"/>
        </w:rPr>
        <w:t>com a Teoria do Agir Comunicativo de</w:t>
      </w:r>
      <w:r w:rsidRPr="00BD0141">
        <w:rPr>
          <w:rFonts w:ascii="Times New Roman" w:hAnsi="Times New Roman" w:cs="Times New Roman"/>
          <w:sz w:val="24"/>
          <w:szCs w:val="24"/>
        </w:rPr>
        <w:t xml:space="preserve"> Jürgen Habermas, que pressupõe a construção de consensos por meio do diálogo argumentativo. O agir comunicativo se baseia em três pretensões de validade:</w:t>
      </w:r>
    </w:p>
    <w:p w14:paraId="0810710D" w14:textId="77777777" w:rsidR="00BD0141" w:rsidRPr="00BD0141" w:rsidRDefault="00BD0141" w:rsidP="003F7F2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b/>
          <w:bCs/>
          <w:sz w:val="24"/>
          <w:szCs w:val="24"/>
        </w:rPr>
        <w:t>Verdade</w:t>
      </w:r>
      <w:r w:rsidRPr="003F7F29">
        <w:rPr>
          <w:rFonts w:ascii="Times New Roman" w:hAnsi="Times New Roman" w:cs="Times New Roman"/>
          <w:sz w:val="24"/>
          <w:szCs w:val="24"/>
        </w:rPr>
        <w:t xml:space="preserve"> (objetividade</w:t>
      </w:r>
      <w:r w:rsidRPr="00BD0141">
        <w:rPr>
          <w:rFonts w:ascii="Times New Roman" w:hAnsi="Times New Roman" w:cs="Times New Roman"/>
          <w:sz w:val="24"/>
          <w:szCs w:val="24"/>
        </w:rPr>
        <w:t xml:space="preserve"> do mundo);</w:t>
      </w:r>
    </w:p>
    <w:p w14:paraId="79CDB465" w14:textId="77777777" w:rsidR="00BD0141" w:rsidRPr="00BD0141" w:rsidRDefault="00BD0141" w:rsidP="003F7F2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b/>
          <w:bCs/>
          <w:sz w:val="24"/>
          <w:szCs w:val="24"/>
        </w:rPr>
        <w:t>Correção normativa</w:t>
      </w:r>
      <w:r w:rsidRPr="00BD0141">
        <w:rPr>
          <w:rFonts w:ascii="Times New Roman" w:hAnsi="Times New Roman" w:cs="Times New Roman"/>
          <w:sz w:val="24"/>
          <w:szCs w:val="24"/>
        </w:rPr>
        <w:t xml:space="preserve"> (legitimidade das normas);</w:t>
      </w:r>
    </w:p>
    <w:p w14:paraId="638E7B21" w14:textId="77777777" w:rsidR="00BD0141" w:rsidRPr="00BD0141" w:rsidRDefault="00BD0141" w:rsidP="003F7F2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b/>
          <w:bCs/>
          <w:sz w:val="24"/>
          <w:szCs w:val="24"/>
        </w:rPr>
        <w:t>Veracidade</w:t>
      </w:r>
      <w:r w:rsidRPr="00BD0141">
        <w:rPr>
          <w:rFonts w:ascii="Times New Roman" w:hAnsi="Times New Roman" w:cs="Times New Roman"/>
          <w:sz w:val="24"/>
          <w:szCs w:val="24"/>
        </w:rPr>
        <w:t xml:space="preserve"> (sinceridade dos sujeitos).</w:t>
      </w:r>
    </w:p>
    <w:p w14:paraId="6C168551" w14:textId="77777777" w:rsidR="00BD0141" w:rsidRPr="00BD0141" w:rsidRDefault="00BD0141" w:rsidP="003F7F2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O respeito a essas pretensões é fundamental para que o discurso seja livre de coerção e capaz de promover a razão e a justiça.</w:t>
      </w:r>
    </w:p>
    <w:p w14:paraId="37055695" w14:textId="2A07385D" w:rsidR="00BD0141" w:rsidRPr="00BD0141" w:rsidRDefault="00BD0141" w:rsidP="003F7F2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A escola, ao ser concebida como uma microesfera pública, pode utilizar a Lei Maria da Penha mediada pela abordagem comunicativa e crítica de Habermas para desencadear processos de desnaturalização das violências simbólicas. O diálogo pautado nas pretensões de validade, ao ser aplicado na discussão de casos de violência doméstica, convida os estudantes a refletir sobre a verdade dos fatos, a correção da norma legal e a veracidade dos envolvidos (empatia).</w:t>
      </w:r>
    </w:p>
    <w:p w14:paraId="62D76A2B" w14:textId="77777777" w:rsidR="00BD0141" w:rsidRPr="00BD0141" w:rsidRDefault="00BD0141" w:rsidP="003F7F2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lastRenderedPageBreak/>
        <w:t xml:space="preserve">Esse processo favorece o </w:t>
      </w:r>
      <w:r w:rsidRPr="003F7F29">
        <w:rPr>
          <w:rFonts w:ascii="Times New Roman" w:hAnsi="Times New Roman" w:cs="Times New Roman"/>
          <w:sz w:val="24"/>
          <w:szCs w:val="24"/>
        </w:rPr>
        <w:t>descentramento</w:t>
      </w:r>
      <w:r w:rsidRPr="00BD0141">
        <w:rPr>
          <w:rFonts w:ascii="Times New Roman" w:hAnsi="Times New Roman" w:cs="Times New Roman"/>
          <w:sz w:val="24"/>
          <w:szCs w:val="24"/>
        </w:rPr>
        <w:t xml:space="preserve"> dos estudantes, um movimento essencial para a formação da consciência ética e o combate à violência de gênero, que se alimenta de uma visão unilateral e hierárquica. A articulação com a pedagogia da libertação de Paulo Freire (educação dialógica e problematizadora) reforça essa perspectiva, pois ambos os teóricos compartilham a crença de que a linguagem e o diálogo têm um potencial ético e político intrínseco para a superação de opressões.</w:t>
      </w:r>
    </w:p>
    <w:p w14:paraId="05D67E17" w14:textId="77777777" w:rsidR="00BD0141" w:rsidRDefault="00BD0141" w:rsidP="00BD01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10DDDE" w14:textId="323E784B" w:rsidR="00BD0141" w:rsidRPr="00BD0141" w:rsidRDefault="00BD0141" w:rsidP="00BD014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0141">
        <w:rPr>
          <w:rFonts w:ascii="Times New Roman" w:hAnsi="Times New Roman" w:cs="Times New Roman"/>
          <w:b/>
          <w:bCs/>
          <w:sz w:val="24"/>
          <w:szCs w:val="24"/>
        </w:rPr>
        <w:t>CONCLUSÃO</w:t>
      </w:r>
    </w:p>
    <w:p w14:paraId="0B1C7D38" w14:textId="77777777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 xml:space="preserve">O ensaio conclui que o enfrentamento efetivo da violência de gênero exige, concomitantemente à resposta legal, processos educativos transformadores, capazes de atuar na desconstrução das bases que a sustentam. A escola, como um campo de disputas simbólicas e produção de identidades, emerge como um </w:t>
      </w:r>
      <w:proofErr w:type="spellStart"/>
      <w:r w:rsidRPr="00BD0141">
        <w:rPr>
          <w:rFonts w:ascii="Times New Roman" w:hAnsi="Times New Roman" w:cs="Times New Roman"/>
          <w:i/>
          <w:iCs/>
          <w:sz w:val="24"/>
          <w:szCs w:val="24"/>
        </w:rPr>
        <w:t>locus</w:t>
      </w:r>
      <w:proofErr w:type="spellEnd"/>
      <w:r w:rsidRPr="00BD0141">
        <w:rPr>
          <w:rFonts w:ascii="Times New Roman" w:hAnsi="Times New Roman" w:cs="Times New Roman"/>
          <w:sz w:val="24"/>
          <w:szCs w:val="24"/>
        </w:rPr>
        <w:t xml:space="preserve"> privilegiado para essa transformação cultural.</w:t>
      </w:r>
    </w:p>
    <w:p w14:paraId="5EFC92A7" w14:textId="77777777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A convergência entre a Teoria do Agir Comunicativo e o ensino da Lei Maria da Penha, pautado nas pretensões de validade (verdade, correção normativa e veracidade</w:t>
      </w:r>
      <w:proofErr w:type="gramStart"/>
      <w:r w:rsidRPr="00BD0141">
        <w:rPr>
          <w:rFonts w:ascii="Times New Roman" w:hAnsi="Times New Roman" w:cs="Times New Roman"/>
          <w:sz w:val="24"/>
          <w:szCs w:val="24"/>
        </w:rPr>
        <w:t>) ,</w:t>
      </w:r>
      <w:proofErr w:type="gramEnd"/>
      <w:r w:rsidRPr="00BD0141">
        <w:rPr>
          <w:rFonts w:ascii="Times New Roman" w:hAnsi="Times New Roman" w:cs="Times New Roman"/>
          <w:sz w:val="24"/>
          <w:szCs w:val="24"/>
        </w:rPr>
        <w:t xml:space="preserve"> potencializa a dimensão emancipatória da educação. Esse exercício do discurso prático-moral promove o descentramento dos estudantes, essencial para o reconhecimento mútuo e o combate à unilateralidade da dominação de gênero.</w:t>
      </w:r>
    </w:p>
    <w:p w14:paraId="1A92EB2F" w14:textId="77777777" w:rsidR="00BD0141" w:rsidRPr="00BD0141" w:rsidRDefault="00BD0141" w:rsidP="003F7F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141">
        <w:rPr>
          <w:rFonts w:ascii="Times New Roman" w:hAnsi="Times New Roman" w:cs="Times New Roman"/>
          <w:sz w:val="24"/>
          <w:szCs w:val="24"/>
        </w:rPr>
        <w:t>Ao unir o conteúdo legal com a consciência crítica e a ação comunicativa, a escola se posiciona como uma instância de renovação moral e cultural, e não apenas como reprodutora de normas. Uma educação verdadeiramente dialógica e emancipatória capacita as novas gerações a reconhecer, repudiar e combater todas as formas de violência contra as mulheres, pavimentando o caminho para uma sociedade mais justa e equitativa.</w:t>
      </w:r>
    </w:p>
    <w:p w14:paraId="355D963B" w14:textId="77777777" w:rsidR="003A584B" w:rsidRDefault="003A584B" w:rsidP="00BD01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3731B3" w14:textId="30184B7C" w:rsidR="00BD0141" w:rsidRPr="00BD0141" w:rsidRDefault="003F7F29" w:rsidP="00BD0141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0141">
        <w:rPr>
          <w:rFonts w:ascii="Times New Roman" w:hAnsi="Times New Roman" w:cs="Times New Roman"/>
          <w:b/>
          <w:bCs/>
          <w:sz w:val="24"/>
          <w:szCs w:val="24"/>
        </w:rPr>
        <w:t>REFERÊNCIAS</w:t>
      </w:r>
    </w:p>
    <w:p w14:paraId="287A9BA9" w14:textId="77777777" w:rsidR="00BD0141" w:rsidRPr="00BD0141" w:rsidRDefault="00BD0141" w:rsidP="00BD0141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B27100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BARDIN, Laurence.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Análise de conteúdo</w:t>
      </w:r>
      <w:r w:rsidRPr="003F7F29">
        <w:rPr>
          <w:rFonts w:ascii="Times New Roman" w:hAnsi="Times New Roman" w:cs="Times New Roman"/>
          <w:sz w:val="24"/>
          <w:szCs w:val="24"/>
        </w:rPr>
        <w:t>. Edição revista e ampliada. Lisboa: Edições 70, 2011.</w:t>
      </w:r>
    </w:p>
    <w:p w14:paraId="12A5AEDF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79325862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COSTA, N. C. A.; ZOLTOWSKI, A. P. C. Como escrever um artigo de revisão sistemática.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Revista da Sociedade Brasileira de Psicologia Hospitalar</w:t>
      </w:r>
      <w:r w:rsidRPr="003F7F29">
        <w:rPr>
          <w:rFonts w:ascii="Times New Roman" w:hAnsi="Times New Roman" w:cs="Times New Roman"/>
          <w:sz w:val="24"/>
          <w:szCs w:val="24"/>
        </w:rPr>
        <w:t>, v. 14, n. 1, p. 1-8, 2014.</w:t>
      </w:r>
    </w:p>
    <w:p w14:paraId="1B75A15D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ABC26B5" w14:textId="77777777" w:rsidR="00BD0141" w:rsidRPr="003F7F29" w:rsidRDefault="00BD0141" w:rsidP="003F7F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CNTE.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Projetos levam conscientização sobre violência contra mulher às escolas públicas</w:t>
      </w:r>
      <w:r w:rsidRPr="003F7F29">
        <w:rPr>
          <w:rFonts w:ascii="Times New Roman" w:hAnsi="Times New Roman" w:cs="Times New Roman"/>
          <w:sz w:val="24"/>
          <w:szCs w:val="24"/>
        </w:rPr>
        <w:t xml:space="preserve">. Brasília, 2024. Disponível em: </w:t>
      </w:r>
      <w:hyperlink r:id="rId9" w:tgtFrame="_blank" w:history="1">
        <w:r w:rsidRPr="003F7F29">
          <w:rPr>
            <w:rStyle w:val="Hyperlink"/>
            <w:rFonts w:ascii="Times New Roman" w:hAnsi="Times New Roman" w:cs="Times New Roman"/>
            <w:sz w:val="24"/>
            <w:szCs w:val="24"/>
          </w:rPr>
          <w:t>https://cnte.org.br/noticias/projetos-levam-conscientizacao-sobre-violencia-contra-mulher-as-escolas-publicas-9b45</w:t>
        </w:r>
      </w:hyperlink>
      <w:r w:rsidRPr="003F7F29">
        <w:rPr>
          <w:rFonts w:ascii="Times New Roman" w:hAnsi="Times New Roman" w:cs="Times New Roman"/>
          <w:sz w:val="24"/>
          <w:szCs w:val="24"/>
        </w:rPr>
        <w:t>. Acesso em: 4 ago. 2025.</w:t>
      </w:r>
    </w:p>
    <w:p w14:paraId="6F25B0E3" w14:textId="77777777" w:rsidR="00BD0141" w:rsidRPr="003F7F29" w:rsidRDefault="00BD0141" w:rsidP="003F7F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3FFEB14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FREIRE, Paulo.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Pedagogia do oprimido</w:t>
      </w:r>
      <w:r w:rsidRPr="003F7F29">
        <w:rPr>
          <w:rFonts w:ascii="Times New Roman" w:hAnsi="Times New Roman" w:cs="Times New Roman"/>
          <w:sz w:val="24"/>
          <w:szCs w:val="24"/>
        </w:rPr>
        <w:t>. Rio de Janeiro: Paz e Terra, 2014.</w:t>
      </w:r>
    </w:p>
    <w:p w14:paraId="5BEA266C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40D0D400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HABERMAS, Jürgen.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O futuro da natureza humana</w:t>
      </w:r>
      <w:r w:rsidRPr="003F7F29">
        <w:rPr>
          <w:rFonts w:ascii="Times New Roman" w:hAnsi="Times New Roman" w:cs="Times New Roman"/>
          <w:sz w:val="24"/>
          <w:szCs w:val="24"/>
        </w:rPr>
        <w:t>. São Paulo: Martins Fontes, 2004.</w:t>
      </w:r>
    </w:p>
    <w:p w14:paraId="2661EAE1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57C7C47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HABERMAS, Jürgen.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Verdade e justificação</w:t>
      </w:r>
      <w:r w:rsidRPr="003F7F29">
        <w:rPr>
          <w:rFonts w:ascii="Times New Roman" w:hAnsi="Times New Roman" w:cs="Times New Roman"/>
          <w:sz w:val="24"/>
          <w:szCs w:val="24"/>
        </w:rPr>
        <w:t>. São Paulo: Editora Unesp, 2022.</w:t>
      </w:r>
    </w:p>
    <w:p w14:paraId="63B86EA8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57A0C15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HABERMAS, J.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Teoria da Ação Comunicativa</w:t>
      </w:r>
      <w:r w:rsidRPr="003F7F29">
        <w:rPr>
          <w:rFonts w:ascii="Times New Roman" w:hAnsi="Times New Roman" w:cs="Times New Roman"/>
          <w:sz w:val="24"/>
          <w:szCs w:val="24"/>
        </w:rPr>
        <w:t>: Volume 1 - Racionalidade da Ação e Racionalização Social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F7F29">
        <w:rPr>
          <w:rFonts w:ascii="Times New Roman" w:hAnsi="Times New Roman" w:cs="Times New Roman"/>
          <w:sz w:val="24"/>
          <w:szCs w:val="24"/>
        </w:rPr>
        <w:t xml:space="preserve"> Tradução e apresentação Luiz </w:t>
      </w:r>
      <w:proofErr w:type="spellStart"/>
      <w:r w:rsidRPr="003F7F29">
        <w:rPr>
          <w:rFonts w:ascii="Times New Roman" w:hAnsi="Times New Roman" w:cs="Times New Roman"/>
          <w:sz w:val="24"/>
          <w:szCs w:val="24"/>
        </w:rPr>
        <w:t>Repa</w:t>
      </w:r>
      <w:proofErr w:type="spellEnd"/>
      <w:r w:rsidRPr="003F7F29">
        <w:rPr>
          <w:rFonts w:ascii="Times New Roman" w:hAnsi="Times New Roman" w:cs="Times New Roman"/>
          <w:sz w:val="24"/>
          <w:szCs w:val="24"/>
        </w:rPr>
        <w:t>. São Paulo: Editora Unesp Digital, 2022.</w:t>
      </w:r>
    </w:p>
    <w:p w14:paraId="262E4E6F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983B2C4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IPEA; FBSP.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Atlas da Violência 2025</w:t>
      </w:r>
      <w:r w:rsidRPr="003F7F29">
        <w:rPr>
          <w:rFonts w:ascii="Times New Roman" w:hAnsi="Times New Roman" w:cs="Times New Roman"/>
          <w:sz w:val="24"/>
          <w:szCs w:val="24"/>
        </w:rPr>
        <w:t>. Brasília: IPEA, 2025.</w:t>
      </w:r>
    </w:p>
    <w:p w14:paraId="2C6DFD1E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29441AA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LOURO, </w:t>
      </w:r>
      <w:proofErr w:type="spellStart"/>
      <w:r w:rsidRPr="003F7F29">
        <w:rPr>
          <w:rFonts w:ascii="Times New Roman" w:hAnsi="Times New Roman" w:cs="Times New Roman"/>
          <w:sz w:val="24"/>
          <w:szCs w:val="24"/>
        </w:rPr>
        <w:t>Guacira</w:t>
      </w:r>
      <w:proofErr w:type="spellEnd"/>
      <w:r w:rsidRPr="003F7F29">
        <w:rPr>
          <w:rFonts w:ascii="Times New Roman" w:hAnsi="Times New Roman" w:cs="Times New Roman"/>
          <w:sz w:val="24"/>
          <w:szCs w:val="24"/>
        </w:rPr>
        <w:t xml:space="preserve"> Lopes.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Gênero, sexualidade e educação</w:t>
      </w:r>
      <w:r w:rsidRPr="003F7F29">
        <w:rPr>
          <w:rFonts w:ascii="Times New Roman" w:hAnsi="Times New Roman" w:cs="Times New Roman"/>
          <w:sz w:val="24"/>
          <w:szCs w:val="24"/>
        </w:rPr>
        <w:t>: uma perspectiva pós-estruturalista. Petrópolis: Vozes, 1997.</w:t>
      </w:r>
    </w:p>
    <w:p w14:paraId="5CA7E176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2F814961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MPSE.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MPSE apresenta projeto 'Dialogando com as Escolas sobre a Lei Maria da Penha' a secretários de Educação</w:t>
      </w:r>
      <w:r w:rsidRPr="003F7F29">
        <w:rPr>
          <w:rFonts w:ascii="Times New Roman" w:hAnsi="Times New Roman" w:cs="Times New Roman"/>
          <w:sz w:val="24"/>
          <w:szCs w:val="24"/>
        </w:rPr>
        <w:t xml:space="preserve">. Disponível em: </w:t>
      </w:r>
      <w:hyperlink r:id="rId10" w:tgtFrame="_blank" w:history="1">
        <w:r w:rsidRPr="003F7F29">
          <w:rPr>
            <w:rStyle w:val="Hyperlink"/>
            <w:rFonts w:ascii="Times New Roman" w:hAnsi="Times New Roman" w:cs="Times New Roman"/>
            <w:sz w:val="24"/>
            <w:szCs w:val="24"/>
          </w:rPr>
          <w:t>https://www.mpse.mp.br/index.php/2025/05/15/mpse-apresenta-projeto-dialogando-com-as-escolas-sobre-a-lei-maria-da-penha-a-secretarios-de-educacao/</w:t>
        </w:r>
      </w:hyperlink>
      <w:r w:rsidRPr="003F7F29">
        <w:rPr>
          <w:rFonts w:ascii="Times New Roman" w:hAnsi="Times New Roman" w:cs="Times New Roman"/>
          <w:sz w:val="24"/>
          <w:szCs w:val="24"/>
        </w:rPr>
        <w:t>. Acesso em: 4 ago. 2025.</w:t>
      </w:r>
    </w:p>
    <w:p w14:paraId="0DE8DC18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9502DA1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NUNES, Ana Paula Brito. Maria da Penha vai às escolas: uma análise sobre o ensino da lei de proteção às mulheres à luz da Educação em Direitos Humanos. 2023. 121 f.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Dissertação</w:t>
      </w:r>
      <w:r w:rsidRPr="003F7F29">
        <w:rPr>
          <w:rFonts w:ascii="Times New Roman" w:hAnsi="Times New Roman" w:cs="Times New Roman"/>
          <w:sz w:val="24"/>
          <w:szCs w:val="24"/>
        </w:rPr>
        <w:t xml:space="preserve"> (Mestrado em Direitos Humanos, Cidadania e Políticas Públicas) – Centro de Ciências Humanas, Letras e Artes, Universidade Federal da Paraíba, João Pessoa, 2023.</w:t>
      </w:r>
    </w:p>
    <w:p w14:paraId="53F35A12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9D3438D" w14:textId="77777777" w:rsidR="00BD0141" w:rsidRPr="003F7F29" w:rsidRDefault="00BD0141" w:rsidP="003F7F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SANTOS, Tiago Zeferino dos; LUIZA, Fernanda Rodrigues da. Formação de professores em gênero e sexualidade na educação básica: uma revisão integrativa.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Revista Momento</w:t>
      </w:r>
      <w:r w:rsidRPr="003F7F29">
        <w:rPr>
          <w:rFonts w:ascii="Times New Roman" w:hAnsi="Times New Roman" w:cs="Times New Roman"/>
          <w:sz w:val="24"/>
          <w:szCs w:val="24"/>
        </w:rPr>
        <w:t>, v. 32, n. 2, p. 1-20, 2023.</w:t>
      </w:r>
    </w:p>
    <w:p w14:paraId="78D337FC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A17AE7D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SAFFIOTI, </w:t>
      </w:r>
      <w:proofErr w:type="spellStart"/>
      <w:r w:rsidRPr="003F7F29">
        <w:rPr>
          <w:rFonts w:ascii="Times New Roman" w:hAnsi="Times New Roman" w:cs="Times New Roman"/>
          <w:sz w:val="24"/>
          <w:szCs w:val="24"/>
        </w:rPr>
        <w:t>Heleieth</w:t>
      </w:r>
      <w:proofErr w:type="spellEnd"/>
      <w:r w:rsidRPr="003F7F29">
        <w:rPr>
          <w:rFonts w:ascii="Times New Roman" w:hAnsi="Times New Roman" w:cs="Times New Roman"/>
          <w:sz w:val="24"/>
          <w:szCs w:val="24"/>
        </w:rPr>
        <w:t xml:space="preserve"> I. B.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A mulher na sociedade de classes</w:t>
      </w:r>
      <w:r w:rsidRPr="003F7F29">
        <w:rPr>
          <w:rFonts w:ascii="Times New Roman" w:hAnsi="Times New Roman" w:cs="Times New Roman"/>
          <w:sz w:val="24"/>
          <w:szCs w:val="24"/>
        </w:rPr>
        <w:t>: mito e realidade. Petrópolis: Vozes, 1987.</w:t>
      </w:r>
    </w:p>
    <w:p w14:paraId="598DD9A2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1E30F18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SAFFIOTI, </w:t>
      </w:r>
      <w:proofErr w:type="spellStart"/>
      <w:r w:rsidRPr="003F7F29">
        <w:rPr>
          <w:rFonts w:ascii="Times New Roman" w:hAnsi="Times New Roman" w:cs="Times New Roman"/>
          <w:sz w:val="24"/>
          <w:szCs w:val="24"/>
        </w:rPr>
        <w:t>Heleieth</w:t>
      </w:r>
      <w:proofErr w:type="spellEnd"/>
      <w:r w:rsidRPr="003F7F29">
        <w:rPr>
          <w:rFonts w:ascii="Times New Roman" w:hAnsi="Times New Roman" w:cs="Times New Roman"/>
          <w:sz w:val="24"/>
          <w:szCs w:val="24"/>
        </w:rPr>
        <w:t xml:space="preserve"> I. B.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Gênero, patriarcado, violência</w:t>
      </w:r>
      <w:r w:rsidRPr="003F7F29">
        <w:rPr>
          <w:rFonts w:ascii="Times New Roman" w:hAnsi="Times New Roman" w:cs="Times New Roman"/>
          <w:sz w:val="24"/>
          <w:szCs w:val="24"/>
        </w:rPr>
        <w:t>. 2. ed. São Paulo: Fundação Perseu Abramo, 2015.</w:t>
      </w:r>
    </w:p>
    <w:p w14:paraId="6EC6CD21" w14:textId="77777777" w:rsidR="00BD0141" w:rsidRPr="003F7F29" w:rsidRDefault="00BD0141" w:rsidP="003F7F2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BB85AC8" w14:textId="77777777" w:rsidR="00BD0141" w:rsidRPr="003F7F29" w:rsidRDefault="00BD0141" w:rsidP="003F7F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F7F29">
        <w:rPr>
          <w:rFonts w:ascii="Times New Roman" w:hAnsi="Times New Roman" w:cs="Times New Roman"/>
          <w:sz w:val="24"/>
          <w:szCs w:val="24"/>
        </w:rPr>
        <w:t xml:space="preserve">UFLA. </w:t>
      </w:r>
      <w:r w:rsidRPr="003F7F29">
        <w:rPr>
          <w:rFonts w:ascii="Times New Roman" w:hAnsi="Times New Roman" w:cs="Times New Roman"/>
          <w:b/>
          <w:bCs/>
          <w:sz w:val="24"/>
          <w:szCs w:val="24"/>
        </w:rPr>
        <w:t>Projeto de extensão acolhe mulheres vítimas de violências e as encaminham para atendimento profissional</w:t>
      </w:r>
      <w:r w:rsidRPr="003F7F29">
        <w:rPr>
          <w:rFonts w:ascii="Times New Roman" w:hAnsi="Times New Roman" w:cs="Times New Roman"/>
          <w:sz w:val="24"/>
          <w:szCs w:val="24"/>
        </w:rPr>
        <w:t xml:space="preserve">. Lavras, 2023. Disponível em: </w:t>
      </w:r>
      <w:hyperlink r:id="rId11" w:tgtFrame="_blank" w:history="1">
        <w:r w:rsidRPr="003F7F29">
          <w:rPr>
            <w:rStyle w:val="Hyperlink"/>
            <w:rFonts w:ascii="Times New Roman" w:hAnsi="Times New Roman" w:cs="Times New Roman"/>
            <w:sz w:val="24"/>
            <w:szCs w:val="24"/>
          </w:rPr>
          <w:t>https://ufla.br/noticias/extensao/15835-projeto-de-extensao-acolhe-mulheres-vitimas-de-violencias-e-as-encaminham-para-atendimento-profissional</w:t>
        </w:r>
      </w:hyperlink>
      <w:r w:rsidRPr="003F7F29">
        <w:rPr>
          <w:rFonts w:ascii="Times New Roman" w:hAnsi="Times New Roman" w:cs="Times New Roman"/>
          <w:sz w:val="24"/>
          <w:szCs w:val="24"/>
        </w:rPr>
        <w:t>. Acesso em: 4 ago. 2025.</w:t>
      </w:r>
    </w:p>
    <w:p w14:paraId="5F7A0C50" w14:textId="77777777" w:rsidR="00BD0141" w:rsidRPr="00BD0141" w:rsidRDefault="00BD0141" w:rsidP="00BD014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D0141" w:rsidRPr="00BD0141" w:rsidSect="00BD0141">
      <w:pgSz w:w="11906" w:h="16838" w:code="9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6D25D" w14:textId="77777777" w:rsidR="00CA1D34" w:rsidRDefault="00CA1D34" w:rsidP="003F7F29">
      <w:pPr>
        <w:spacing w:after="0" w:line="240" w:lineRule="auto"/>
      </w:pPr>
      <w:r>
        <w:separator/>
      </w:r>
    </w:p>
  </w:endnote>
  <w:endnote w:type="continuationSeparator" w:id="0">
    <w:p w14:paraId="08DE3028" w14:textId="77777777" w:rsidR="00CA1D34" w:rsidRDefault="00CA1D34" w:rsidP="003F7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CB7E2" w14:textId="77777777" w:rsidR="00CA1D34" w:rsidRDefault="00CA1D34" w:rsidP="003F7F29">
      <w:pPr>
        <w:spacing w:after="0" w:line="240" w:lineRule="auto"/>
      </w:pPr>
      <w:r>
        <w:separator/>
      </w:r>
    </w:p>
  </w:footnote>
  <w:footnote w:type="continuationSeparator" w:id="0">
    <w:p w14:paraId="17D44AD4" w14:textId="77777777" w:rsidR="00CA1D34" w:rsidRDefault="00CA1D34" w:rsidP="003F7F29">
      <w:pPr>
        <w:spacing w:after="0" w:line="240" w:lineRule="auto"/>
      </w:pPr>
      <w:r>
        <w:continuationSeparator/>
      </w:r>
    </w:p>
  </w:footnote>
  <w:footnote w:id="1">
    <w:p w14:paraId="729BA309" w14:textId="3F7A535A" w:rsidR="003F7F29" w:rsidRDefault="003F7F29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3F7F29">
        <w:rPr>
          <w:rFonts w:ascii="Times New Roman" w:hAnsi="Times New Roman" w:cs="Times New Roman"/>
        </w:rPr>
        <w:t xml:space="preserve">Mestre pelo Programa de Pós-Graduação em </w:t>
      </w:r>
      <w:r w:rsidRPr="003F7F29">
        <w:rPr>
          <w:rFonts w:ascii="Times New Roman" w:hAnsi="Times New Roman" w:cs="Times New Roman"/>
        </w:rPr>
        <w:t>Direitos Humanos, Cidadania e Políticas Públicas da Universidade Federal da Paraíba</w:t>
      </w:r>
      <w:r w:rsidRPr="003F7F29">
        <w:rPr>
          <w:rFonts w:ascii="Times New Roman" w:hAnsi="Times New Roman" w:cs="Times New Roman"/>
        </w:rPr>
        <w:t xml:space="preserve"> (PPDGH/UFPB).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0936E2"/>
    <w:multiLevelType w:val="multilevel"/>
    <w:tmpl w:val="77544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141"/>
    <w:rsid w:val="003A584B"/>
    <w:rsid w:val="003F7F29"/>
    <w:rsid w:val="0057118C"/>
    <w:rsid w:val="009B20EC"/>
    <w:rsid w:val="00AE226B"/>
    <w:rsid w:val="00BD0141"/>
    <w:rsid w:val="00CA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E703A"/>
  <w15:chartTrackingRefBased/>
  <w15:docId w15:val="{A80F5F8A-300B-4E95-984E-9A6760040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D01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D01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D01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D01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D01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D01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D01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D01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D01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01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D01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D01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D014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D014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D014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D014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D014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D014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D01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D01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D01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D01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D01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D014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D014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D014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D01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D014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D0141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BD0141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BD0141"/>
    <w:rPr>
      <w:color w:val="467886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F7F29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F7F29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F7F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fla.br/noticias/extensao/15835-projeto-de-extensao-acolhe-mulheres-vitimas-de-violencias-e-as-encaminham-para-atendimento-profissiona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mpse.mp.br/index.php/2025/05/15/mpse-apresenta-projeto-dialogando-com-as-escolas-sobre-a-lei-maria-da-penha-a-secretarios-de-educacao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nte.org.br/noticias/projetos-levam-conscientizacao-sobre-violencia-contra-mulher-as-escolas-publicas-9b45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7E41C-EFBE-4610-8467-56B1C34EB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1837</Words>
  <Characters>9924</Characters>
  <Application>Microsoft Office Word</Application>
  <DocSecurity>0</DocSecurity>
  <Lines>82</Lines>
  <Paragraphs>23</Paragraphs>
  <ScaleCrop>false</ScaleCrop>
  <Company/>
  <LinksUpToDate>false</LinksUpToDate>
  <CharactersWithSpaces>11738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Paula Brito</dc:creator>
  <cp:keywords/>
  <dc:description/>
  <cp:lastModifiedBy>Henry Santos</cp:lastModifiedBy>
  <cp:revision>2</cp:revision>
  <dcterms:created xsi:type="dcterms:W3CDTF">2026-03-28T14:37:00Z</dcterms:created>
  <dcterms:modified xsi:type="dcterms:W3CDTF">2026-03-28T14:37:00Z</dcterms:modified>
</cp:coreProperties>
</file>